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110"/>
      </w:tblGrid>
      <w:tr w:rsidR="004E7F7D" w:rsidTr="007B1BBC">
        <w:trPr>
          <w:trHeight w:val="1135"/>
        </w:trPr>
        <w:tc>
          <w:tcPr>
            <w:tcW w:w="959" w:type="dxa"/>
          </w:tcPr>
          <w:p w:rsidR="004E7F7D" w:rsidRDefault="00C84478" w:rsidP="00A42BB9">
            <w:pPr>
              <w:rPr>
                <w:sz w:val="24"/>
              </w:rPr>
            </w:pPr>
            <w:r>
              <w:rPr>
                <w:smallCaps/>
                <w:noProof/>
                <w:sz w:val="28"/>
                <w:szCs w:val="32"/>
                <w:lang w:eastAsia="hr-HR"/>
              </w:rPr>
              <w:drawing>
                <wp:inline distT="0" distB="0" distL="0" distR="0" wp14:anchorId="5440AE87" wp14:editId="507460D6">
                  <wp:extent cx="437515" cy="580390"/>
                  <wp:effectExtent l="0" t="0" r="635" b="0"/>
                  <wp:docPr id="8" name="Picture 1" descr="grb_republike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republike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</w:tcPr>
          <w:p w:rsidR="004E7F7D" w:rsidRPr="00C84478" w:rsidRDefault="00C84478" w:rsidP="00A42BB9">
            <w:pPr>
              <w:spacing w:before="180"/>
              <w:rPr>
                <w:rFonts w:ascii="Garamond" w:hAnsi="Garamond"/>
                <w:b/>
                <w:smallCaps/>
                <w:sz w:val="28"/>
              </w:rPr>
            </w:pPr>
            <w:r w:rsidRPr="00C84478">
              <w:rPr>
                <w:rFonts w:ascii="Garamond" w:hAnsi="Garamond"/>
                <w:b/>
                <w:smallCaps/>
                <w:sz w:val="28"/>
              </w:rPr>
              <w:t>Vlada Republike Hrvatske</w:t>
            </w:r>
          </w:p>
          <w:p w:rsidR="004E7F7D" w:rsidRPr="00C84478" w:rsidRDefault="00C84478" w:rsidP="00A42BB9">
            <w:pPr>
              <w:rPr>
                <w:rFonts w:ascii="Garamond" w:hAnsi="Garamond"/>
                <w:b/>
                <w:smallCaps/>
                <w:sz w:val="22"/>
              </w:rPr>
            </w:pPr>
            <w:r w:rsidRPr="00C84478">
              <w:rPr>
                <w:rFonts w:ascii="Garamond" w:hAnsi="Garamond"/>
                <w:b/>
                <w:smallCaps/>
                <w:sz w:val="22"/>
              </w:rPr>
              <w:t>Ured predsjednika Vlade</w:t>
            </w:r>
          </w:p>
          <w:p w:rsidR="004E7F7D" w:rsidRPr="009B533D" w:rsidRDefault="004E7F7D" w:rsidP="00A42BB9">
            <w:pPr>
              <w:rPr>
                <w:rFonts w:ascii="Garamond" w:hAnsi="Garamond"/>
                <w:b/>
              </w:rPr>
            </w:pPr>
            <w:r w:rsidRPr="004E7F7D">
              <w:rPr>
                <w:rFonts w:ascii="Garamond" w:hAnsi="Garamond"/>
                <w:b/>
                <w:sz w:val="22"/>
              </w:rPr>
              <w:t>Služba za odnose s javnošću</w:t>
            </w:r>
          </w:p>
        </w:tc>
      </w:tr>
      <w:tr w:rsidR="009B533D" w:rsidTr="007B1BBC">
        <w:trPr>
          <w:trHeight w:val="632"/>
        </w:trPr>
        <w:tc>
          <w:tcPr>
            <w:tcW w:w="5070" w:type="dxa"/>
            <w:gridSpan w:val="2"/>
          </w:tcPr>
          <w:p w:rsidR="00C84478" w:rsidRDefault="00C84478" w:rsidP="00A42BB9">
            <w:pPr>
              <w:rPr>
                <w:rFonts w:ascii="Garamond" w:hAnsi="Garamond"/>
              </w:rPr>
            </w:pPr>
          </w:p>
          <w:p w:rsidR="004E7F7D" w:rsidRPr="004E7F7D" w:rsidRDefault="004E7F7D" w:rsidP="00A42BB9">
            <w:pPr>
              <w:rPr>
                <w:rFonts w:ascii="Garamond" w:hAnsi="Garamond"/>
              </w:rPr>
            </w:pPr>
            <w:r w:rsidRPr="004E7F7D">
              <w:rPr>
                <w:rFonts w:ascii="Garamond" w:hAnsi="Garamond"/>
              </w:rPr>
              <w:t>Klasa: 008-01/1</w:t>
            </w:r>
            <w:r w:rsidR="00F703EA">
              <w:rPr>
                <w:rFonts w:ascii="Garamond" w:hAnsi="Garamond"/>
              </w:rPr>
              <w:t>9</w:t>
            </w:r>
            <w:r w:rsidRPr="004E7F7D">
              <w:rPr>
                <w:rFonts w:ascii="Garamond" w:hAnsi="Garamond"/>
              </w:rPr>
              <w:t>-01/01</w:t>
            </w:r>
          </w:p>
          <w:p w:rsidR="004E7F7D" w:rsidRPr="004E7F7D" w:rsidRDefault="004E7F7D" w:rsidP="00A42BB9">
            <w:pPr>
              <w:rPr>
                <w:rFonts w:ascii="Garamond" w:hAnsi="Garamond"/>
              </w:rPr>
            </w:pPr>
            <w:proofErr w:type="spellStart"/>
            <w:r w:rsidRPr="004E7F7D">
              <w:rPr>
                <w:rFonts w:ascii="Garamond" w:hAnsi="Garamond"/>
              </w:rPr>
              <w:t>Ur</w:t>
            </w:r>
            <w:proofErr w:type="spellEnd"/>
            <w:r w:rsidRPr="004E7F7D">
              <w:rPr>
                <w:rFonts w:ascii="Garamond" w:hAnsi="Garamond"/>
              </w:rPr>
              <w:t>. broj: 50302/24-1</w:t>
            </w:r>
            <w:r w:rsidR="005663E5">
              <w:rPr>
                <w:rFonts w:ascii="Garamond" w:hAnsi="Garamond"/>
              </w:rPr>
              <w:t>9</w:t>
            </w:r>
            <w:r w:rsidRPr="004E7F7D">
              <w:rPr>
                <w:rFonts w:ascii="Garamond" w:hAnsi="Garamond"/>
              </w:rPr>
              <w:t>-</w:t>
            </w:r>
          </w:p>
          <w:p w:rsidR="004E7F7D" w:rsidRPr="004E7F7D" w:rsidRDefault="004E7F7D" w:rsidP="00A42BB9">
            <w:pPr>
              <w:rPr>
                <w:rFonts w:ascii="Garamond" w:hAnsi="Garamond"/>
              </w:rPr>
            </w:pPr>
          </w:p>
          <w:p w:rsidR="004E7F7D" w:rsidRPr="00C84478" w:rsidRDefault="004E7F7D" w:rsidP="00A42BB9">
            <w:pPr>
              <w:rPr>
                <w:sz w:val="22"/>
              </w:rPr>
            </w:pPr>
            <w:r w:rsidRPr="00C84478">
              <w:rPr>
                <w:rFonts w:ascii="Garamond" w:hAnsi="Garamond"/>
                <w:sz w:val="22"/>
              </w:rPr>
              <w:t xml:space="preserve">Zagreb, </w:t>
            </w:r>
            <w:r w:rsidR="00A42BB9">
              <w:rPr>
                <w:rFonts w:ascii="Garamond" w:hAnsi="Garamond"/>
                <w:sz w:val="22"/>
              </w:rPr>
              <w:t>9. prosinca</w:t>
            </w:r>
            <w:r w:rsidR="00F23AA8">
              <w:rPr>
                <w:rFonts w:ascii="Garamond" w:hAnsi="Garamond"/>
                <w:sz w:val="22"/>
              </w:rPr>
              <w:t xml:space="preserve"> </w:t>
            </w:r>
            <w:r w:rsidRPr="00C84478">
              <w:rPr>
                <w:rFonts w:ascii="Garamond" w:hAnsi="Garamond"/>
                <w:sz w:val="22"/>
              </w:rPr>
              <w:t>201</w:t>
            </w:r>
            <w:r w:rsidR="005663E5">
              <w:rPr>
                <w:rFonts w:ascii="Garamond" w:hAnsi="Garamond"/>
                <w:sz w:val="22"/>
              </w:rPr>
              <w:t>9</w:t>
            </w:r>
            <w:r w:rsidRPr="00C84478">
              <w:rPr>
                <w:rFonts w:ascii="Garamond" w:hAnsi="Garamond"/>
                <w:sz w:val="22"/>
              </w:rPr>
              <w:t xml:space="preserve">. </w:t>
            </w:r>
          </w:p>
          <w:p w:rsidR="009B533D" w:rsidRDefault="009B533D" w:rsidP="00A42BB9">
            <w:pPr>
              <w:pStyle w:val="Heading1"/>
            </w:pPr>
          </w:p>
          <w:p w:rsidR="00C84478" w:rsidRDefault="00C84478" w:rsidP="00A42BB9"/>
          <w:p w:rsidR="00C84478" w:rsidRDefault="00C84478" w:rsidP="00A42BB9"/>
          <w:p w:rsidR="00C84478" w:rsidRPr="00C84478" w:rsidRDefault="00C84478" w:rsidP="00A42BB9"/>
        </w:tc>
        <w:tc>
          <w:tcPr>
            <w:tcW w:w="4110" w:type="dxa"/>
          </w:tcPr>
          <w:p w:rsidR="009B533D" w:rsidRDefault="009B533D" w:rsidP="00A42BB9">
            <w:pPr>
              <w:rPr>
                <w:sz w:val="24"/>
              </w:rPr>
            </w:pPr>
          </w:p>
          <w:p w:rsidR="009B533D" w:rsidRDefault="009B533D" w:rsidP="00A42BB9">
            <w:pPr>
              <w:rPr>
                <w:rFonts w:ascii="Garamond" w:hAnsi="Garamond"/>
                <w:sz w:val="24"/>
              </w:rPr>
            </w:pPr>
          </w:p>
        </w:tc>
      </w:tr>
      <w:tr w:rsidR="004E7F7D" w:rsidTr="00760069">
        <w:trPr>
          <w:trHeight w:val="632"/>
        </w:trPr>
        <w:tc>
          <w:tcPr>
            <w:tcW w:w="9180" w:type="dxa"/>
            <w:gridSpan w:val="3"/>
          </w:tcPr>
          <w:p w:rsidR="004E7F7D" w:rsidRPr="004E7F7D" w:rsidRDefault="00723B58" w:rsidP="00A42BB9">
            <w:pPr>
              <w:pStyle w:val="Heading1"/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 xml:space="preserve">Priopćenje </w:t>
            </w:r>
          </w:p>
        </w:tc>
      </w:tr>
    </w:tbl>
    <w:p w:rsidR="00DE45A8" w:rsidRPr="00DE45A8" w:rsidRDefault="00DE45A8" w:rsidP="00A42BB9">
      <w:pPr>
        <w:jc w:val="both"/>
        <w:rPr>
          <w:color w:val="000000" w:themeColor="text1"/>
          <w:sz w:val="24"/>
          <w:szCs w:val="24"/>
        </w:rPr>
      </w:pPr>
    </w:p>
    <w:p w:rsidR="00DE45A8" w:rsidRPr="00DE45A8" w:rsidRDefault="00DE45A8" w:rsidP="00A42BB9">
      <w:pPr>
        <w:jc w:val="both"/>
        <w:rPr>
          <w:color w:val="000000" w:themeColor="text1"/>
          <w:sz w:val="24"/>
          <w:szCs w:val="24"/>
        </w:rPr>
      </w:pPr>
    </w:p>
    <w:p w:rsidR="00A42BB9" w:rsidRDefault="00A42BB9" w:rsidP="00A42BB9">
      <w:pPr>
        <w:jc w:val="center"/>
        <w:rPr>
          <w:b/>
          <w:bCs/>
          <w:sz w:val="28"/>
          <w:szCs w:val="28"/>
        </w:rPr>
      </w:pPr>
      <w:r w:rsidRPr="008B579E">
        <w:rPr>
          <w:b/>
          <w:bCs/>
          <w:sz w:val="28"/>
          <w:szCs w:val="28"/>
        </w:rPr>
        <w:t xml:space="preserve">Zaključci X. sjednice Savjeta za Slavoniju, Baranju i Srijem </w:t>
      </w:r>
    </w:p>
    <w:p w:rsidR="00A42BB9" w:rsidRDefault="00A42BB9" w:rsidP="00A42BB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42BB9" w:rsidRDefault="00A42BB9" w:rsidP="00A42BB9">
      <w:pPr>
        <w:jc w:val="both"/>
        <w:rPr>
          <w:sz w:val="24"/>
          <w:szCs w:val="24"/>
        </w:rPr>
      </w:pPr>
      <w:r w:rsidRPr="008B579E">
        <w:rPr>
          <w:sz w:val="24"/>
          <w:szCs w:val="24"/>
          <w:shd w:val="clear" w:color="auto" w:fill="FFFFFF"/>
        </w:rPr>
        <w:t>Deseta sjednica Savjeta za Slavoniju, Baranju i Srijem održana je u Vukovaru 9. prosinca 2019. godine s ciljem rezimiranja do</w:t>
      </w:r>
      <w:r>
        <w:rPr>
          <w:sz w:val="24"/>
          <w:szCs w:val="24"/>
          <w:shd w:val="clear" w:color="auto" w:fill="FFFFFF"/>
        </w:rPr>
        <w:t>sadašnjih postignuća</w:t>
      </w:r>
      <w:r w:rsidRPr="008B579E">
        <w:rPr>
          <w:sz w:val="24"/>
          <w:szCs w:val="24"/>
          <w:shd w:val="clear" w:color="auto" w:fill="FFFFFF"/>
        </w:rPr>
        <w:t xml:space="preserve"> Projekt</w:t>
      </w:r>
      <w:r>
        <w:rPr>
          <w:sz w:val="24"/>
          <w:szCs w:val="24"/>
          <w:shd w:val="clear" w:color="auto" w:fill="FFFFFF"/>
        </w:rPr>
        <w:t>a</w:t>
      </w:r>
      <w:r w:rsidRPr="008B579E">
        <w:rPr>
          <w:sz w:val="24"/>
          <w:szCs w:val="24"/>
          <w:shd w:val="clear" w:color="auto" w:fill="FFFFFF"/>
        </w:rPr>
        <w:t xml:space="preserve"> Slavonija, Baranja i Srijem</w:t>
      </w:r>
      <w:r w:rsidR="00BF2F26">
        <w:rPr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8B579E">
        <w:rPr>
          <w:sz w:val="24"/>
          <w:szCs w:val="24"/>
          <w:shd w:val="clear" w:color="auto" w:fill="FFFFFF"/>
        </w:rPr>
        <w:t xml:space="preserve"> kao i pripreme</w:t>
      </w:r>
      <w:r>
        <w:rPr>
          <w:sz w:val="24"/>
          <w:szCs w:val="24"/>
          <w:shd w:val="clear" w:color="auto" w:fill="FFFFFF"/>
        </w:rPr>
        <w:t xml:space="preserve"> za uključivanje Projekta u novi Višegodišnji financijski okvir Europske unije (2021.-2027.)</w:t>
      </w:r>
      <w:r w:rsidRPr="008B579E">
        <w:rPr>
          <w:sz w:val="24"/>
          <w:szCs w:val="24"/>
          <w:shd w:val="clear" w:color="auto" w:fill="FFFFFF"/>
        </w:rPr>
        <w:t xml:space="preserve"> kako bi se postigao ravnomjerniji razvoj pet slavonskih županija u</w:t>
      </w:r>
      <w:r>
        <w:rPr>
          <w:sz w:val="24"/>
          <w:szCs w:val="24"/>
          <w:shd w:val="clear" w:color="auto" w:fill="FFFFFF"/>
        </w:rPr>
        <w:t xml:space="preserve"> usporedbi s ostatkom Hrvatske. 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  <w:r w:rsidRPr="008B579E">
        <w:rPr>
          <w:b/>
          <w:sz w:val="24"/>
          <w:szCs w:val="24"/>
          <w:shd w:val="clear" w:color="auto" w:fill="FFFFFF"/>
        </w:rPr>
        <w:t>Vukovar</w:t>
      </w:r>
      <w:r w:rsidRPr="008B579E">
        <w:rPr>
          <w:b/>
          <w:sz w:val="24"/>
          <w:szCs w:val="24"/>
          <w:shd w:val="clear" w:color="auto" w:fill="FFFFFF"/>
        </w:rPr>
        <w:t xml:space="preserve"> – mjesto posebnog domovinskog pijeteta</w:t>
      </w:r>
    </w:p>
    <w:p w:rsidR="00A42BB9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t xml:space="preserve">Sjednica Savjeta održana je u Vukovaru nakon što </w:t>
      </w:r>
      <w:r>
        <w:rPr>
          <w:sz w:val="24"/>
          <w:szCs w:val="24"/>
          <w:shd w:val="clear" w:color="auto" w:fill="FFFFFF"/>
        </w:rPr>
        <w:t xml:space="preserve">su usvojene izmjene </w:t>
      </w:r>
      <w:r w:rsidRPr="008B579E">
        <w:rPr>
          <w:sz w:val="24"/>
          <w:szCs w:val="24"/>
          <w:shd w:val="clear" w:color="auto" w:fill="FFFFFF"/>
        </w:rPr>
        <w:t>Zakona o blagdanima, spomendanima i neradnim</w:t>
      </w:r>
      <w:r>
        <w:rPr>
          <w:sz w:val="24"/>
          <w:szCs w:val="24"/>
          <w:shd w:val="clear" w:color="auto" w:fill="FFFFFF"/>
        </w:rPr>
        <w:t xml:space="preserve"> danima u Republici Hrvatskoj,</w:t>
      </w:r>
      <w:r w:rsidRPr="008B579E">
        <w:rPr>
          <w:sz w:val="24"/>
          <w:szCs w:val="24"/>
          <w:shd w:val="clear" w:color="auto" w:fill="FFFFFF"/>
        </w:rPr>
        <w:t xml:space="preserve"> koji</w:t>
      </w:r>
      <w:r>
        <w:rPr>
          <w:sz w:val="24"/>
          <w:szCs w:val="24"/>
          <w:shd w:val="clear" w:color="auto" w:fill="FFFFFF"/>
        </w:rPr>
        <w:t>m</w:t>
      </w:r>
      <w:r w:rsidRPr="008B579E">
        <w:rPr>
          <w:sz w:val="24"/>
          <w:szCs w:val="24"/>
          <w:shd w:val="clear" w:color="auto" w:fill="FFFFFF"/>
        </w:rPr>
        <w:t xml:space="preserve"> je 18. studenoga </w:t>
      </w:r>
      <w:r>
        <w:rPr>
          <w:sz w:val="24"/>
          <w:szCs w:val="24"/>
          <w:shd w:val="clear" w:color="auto" w:fill="FFFFFF"/>
        </w:rPr>
        <w:t xml:space="preserve">proglašen </w:t>
      </w:r>
      <w:r w:rsidRPr="008B579E">
        <w:rPr>
          <w:sz w:val="24"/>
          <w:szCs w:val="24"/>
          <w:shd w:val="clear" w:color="auto" w:fill="FFFFFF"/>
        </w:rPr>
        <w:t>Dan</w:t>
      </w:r>
      <w:r>
        <w:rPr>
          <w:sz w:val="24"/>
          <w:szCs w:val="24"/>
          <w:shd w:val="clear" w:color="auto" w:fill="FFFFFF"/>
        </w:rPr>
        <w:t>om</w:t>
      </w:r>
      <w:r w:rsidRPr="008B579E">
        <w:rPr>
          <w:sz w:val="24"/>
          <w:szCs w:val="24"/>
          <w:shd w:val="clear" w:color="auto" w:fill="FFFFFF"/>
        </w:rPr>
        <w:t xml:space="preserve"> sjećanja na žrtve Domovinskog rata i Dan</w:t>
      </w:r>
      <w:r>
        <w:rPr>
          <w:sz w:val="24"/>
          <w:szCs w:val="24"/>
          <w:shd w:val="clear" w:color="auto" w:fill="FFFFFF"/>
        </w:rPr>
        <w:t>om</w:t>
      </w:r>
      <w:r w:rsidRPr="008B579E">
        <w:rPr>
          <w:sz w:val="24"/>
          <w:szCs w:val="24"/>
          <w:shd w:val="clear" w:color="auto" w:fill="FFFFFF"/>
        </w:rPr>
        <w:t xml:space="preserve"> sjećanja na žrtvu Vukovara i </w:t>
      </w:r>
      <w:proofErr w:type="spellStart"/>
      <w:r w:rsidRPr="008B579E">
        <w:rPr>
          <w:sz w:val="24"/>
          <w:szCs w:val="24"/>
          <w:shd w:val="clear" w:color="auto" w:fill="FFFFFF"/>
        </w:rPr>
        <w:t>Škabrnje</w:t>
      </w:r>
      <w:proofErr w:type="spellEnd"/>
      <w:r w:rsidRPr="008B579E">
        <w:rPr>
          <w:sz w:val="24"/>
          <w:szCs w:val="24"/>
          <w:shd w:val="clear" w:color="auto" w:fill="FFFFFF"/>
        </w:rPr>
        <w:t>. Savjet je pozdravio odluku kojom podržava napore Vlade</w:t>
      </w:r>
      <w:r>
        <w:rPr>
          <w:sz w:val="24"/>
          <w:szCs w:val="24"/>
          <w:shd w:val="clear" w:color="auto" w:fill="FFFFFF"/>
        </w:rPr>
        <w:t xml:space="preserve"> Republike Hrvatske</w:t>
      </w:r>
      <w:r w:rsidRPr="008B579E">
        <w:rPr>
          <w:sz w:val="24"/>
          <w:szCs w:val="24"/>
          <w:shd w:val="clear" w:color="auto" w:fill="FFFFFF"/>
        </w:rPr>
        <w:t xml:space="preserve"> u proglašenju</w:t>
      </w:r>
      <w:r w:rsidRPr="008B579E">
        <w:t xml:space="preserve"> </w:t>
      </w:r>
      <w:r w:rsidRPr="008B579E">
        <w:rPr>
          <w:sz w:val="24"/>
          <w:szCs w:val="24"/>
          <w:shd w:val="clear" w:color="auto" w:fill="FFFFFF"/>
        </w:rPr>
        <w:t xml:space="preserve">Vukovara mjestom posebnog domovinskog pijeteta kao i postupak prijenosa osnivačkih prava nad Općom županijskom bolnicom Vukovar i bolnicom hrvatskih veterana na Republiku Hrvatsku. Savjet podupire napore </w:t>
      </w:r>
      <w:r>
        <w:rPr>
          <w:sz w:val="24"/>
          <w:szCs w:val="24"/>
          <w:shd w:val="clear" w:color="auto" w:fill="FFFFFF"/>
        </w:rPr>
        <w:t xml:space="preserve">Vlade </w:t>
      </w:r>
      <w:r w:rsidRPr="008B579E">
        <w:rPr>
          <w:sz w:val="24"/>
          <w:szCs w:val="24"/>
          <w:shd w:val="clear" w:color="auto" w:fill="FFFFFF"/>
        </w:rPr>
        <w:t>u pregovorima s Europskom komisijom po pitanju Zakona o razvoju Grada Vukovara.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Ukupna u</w:t>
      </w:r>
      <w:r w:rsidRPr="008B579E">
        <w:rPr>
          <w:b/>
          <w:sz w:val="24"/>
          <w:szCs w:val="24"/>
          <w:shd w:val="clear" w:color="auto" w:fill="FFFFFF"/>
        </w:rPr>
        <w:t>laganja</w:t>
      </w: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t xml:space="preserve">Od pokretanja Projekta </w:t>
      </w:r>
      <w:bookmarkStart w:id="1" w:name="_Hlk26463611"/>
      <w:r w:rsidRPr="008B579E">
        <w:rPr>
          <w:bCs/>
          <w:sz w:val="24"/>
          <w:szCs w:val="24"/>
        </w:rPr>
        <w:t xml:space="preserve">Slavonija, Baranja i Srijem, </w:t>
      </w:r>
      <w:bookmarkEnd w:id="1"/>
      <w:r w:rsidRPr="008B579E">
        <w:rPr>
          <w:sz w:val="24"/>
          <w:szCs w:val="24"/>
          <w:shd w:val="clear" w:color="auto" w:fill="FFFFFF"/>
        </w:rPr>
        <w:t xml:space="preserve">do sada je ugovoreno više od 11,3 milijarde kuna europskih sredstava </w:t>
      </w:r>
      <w:r>
        <w:rPr>
          <w:sz w:val="24"/>
          <w:szCs w:val="24"/>
          <w:shd w:val="clear" w:color="auto" w:fill="FFFFFF"/>
        </w:rPr>
        <w:t>te isplaćeno preko 4,5 milijardi</w:t>
      </w:r>
      <w:r w:rsidRPr="008B579E">
        <w:rPr>
          <w:sz w:val="24"/>
          <w:szCs w:val="24"/>
          <w:shd w:val="clear" w:color="auto" w:fill="FFFFFF"/>
        </w:rPr>
        <w:t xml:space="preserve"> kuna za poticanja poduzetništva, obrazovanja, zdravstva, razvoja vodoopskrbe i odvodnje te za kulturnu i prirodnu baštinu, promet, energetiku, zapošljavanje i otvaranje novih radnih mjesta. Od spomenutog iznosa,</w:t>
      </w:r>
      <w:r>
        <w:rPr>
          <w:sz w:val="24"/>
          <w:szCs w:val="24"/>
          <w:shd w:val="clear" w:color="auto" w:fill="FFFFFF"/>
        </w:rPr>
        <w:t xml:space="preserve"> više od 4,3</w:t>
      </w:r>
      <w:r w:rsidRPr="008B579E">
        <w:rPr>
          <w:sz w:val="24"/>
          <w:szCs w:val="24"/>
          <w:shd w:val="clear" w:color="auto" w:fill="FFFFFF"/>
        </w:rPr>
        <w:t xml:space="preserve"> milijard</w:t>
      </w:r>
      <w:r>
        <w:rPr>
          <w:sz w:val="24"/>
          <w:szCs w:val="24"/>
          <w:shd w:val="clear" w:color="auto" w:fill="FFFFFF"/>
        </w:rPr>
        <w:t>e</w:t>
      </w:r>
      <w:r w:rsidRPr="008B579E">
        <w:rPr>
          <w:sz w:val="24"/>
          <w:szCs w:val="24"/>
          <w:shd w:val="clear" w:color="auto" w:fill="FFFFFF"/>
        </w:rPr>
        <w:t xml:space="preserve"> kuna odnosi se na projekte iz sektora poljoprivrede. Dodatno je uloženo više od 184 milijuna kuna nacionalnih sredstava za sufinanciranje svih postojećih EU projekata. Sredstva su, između ostaloga, uložena u 20 bolnica, 109 domova zdravlja, 531 poduzetničku inicijativu, 37 projekata kulturne i prirodne baštine. 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J</w:t>
      </w:r>
      <w:r w:rsidRPr="008B579E">
        <w:rPr>
          <w:b/>
          <w:sz w:val="24"/>
          <w:szCs w:val="24"/>
          <w:shd w:val="clear" w:color="auto" w:fill="FFFFFF"/>
        </w:rPr>
        <w:t>ačanje regionalnih koordinatora</w:t>
      </w: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t xml:space="preserve">Vodeći računa o potrebama i izazovima općina, gradova i županija u povlačenju EU sredstava, Savjet je posebnu pozornost posvetio jačanju kapaciteta njihovih institucija za pripremu </w:t>
      </w:r>
      <w:r w:rsidRPr="008B579E">
        <w:rPr>
          <w:sz w:val="24"/>
          <w:szCs w:val="24"/>
          <w:shd w:val="clear" w:color="auto" w:fill="FFFFFF"/>
        </w:rPr>
        <w:lastRenderedPageBreak/>
        <w:t>projektno-tehničke dokumentacije te osnaživanje znanja i vještina svih dionika za uspješnije korištenje europskih fondova. S tom namjenom do sada je dodijeljeno više od 157 milijuna kuna regionalnim koordinatorima u pet slavonskih županija od ukupno 480 milijuna kuna namijenjenih regionalnim koordinatorima u RH.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I</w:t>
      </w:r>
      <w:r w:rsidRPr="008B579E">
        <w:rPr>
          <w:b/>
          <w:sz w:val="24"/>
          <w:szCs w:val="24"/>
          <w:shd w:val="clear" w:color="auto" w:fill="FFFFFF"/>
        </w:rPr>
        <w:t>ntegrirana ulaganja</w:t>
      </w: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t>Program integrirane fizičke, gospodarske i socijalne regeneracije malih gradova na ratom pogođenim područjima</w:t>
      </w:r>
      <w:r>
        <w:rPr>
          <w:sz w:val="24"/>
          <w:szCs w:val="24"/>
          <w:shd w:val="clear" w:color="auto" w:fill="FFFFFF"/>
        </w:rPr>
        <w:t>,</w:t>
      </w:r>
      <w:r w:rsidRPr="008B579E">
        <w:rPr>
          <w:sz w:val="24"/>
          <w:szCs w:val="24"/>
          <w:shd w:val="clear" w:color="auto" w:fill="FFFFFF"/>
        </w:rPr>
        <w:t xml:space="preserve"> koji provode Ministarstvo regionalnoga razvoja i fondova Europske unije u suradnji s Ministarstvom rada i mirovinskog sustava</w:t>
      </w:r>
      <w:r>
        <w:rPr>
          <w:sz w:val="24"/>
          <w:szCs w:val="24"/>
          <w:shd w:val="clear" w:color="auto" w:fill="FFFFFF"/>
        </w:rPr>
        <w:t>.</w:t>
      </w:r>
      <w:r w:rsidRPr="008B579E">
        <w:rPr>
          <w:sz w:val="24"/>
          <w:szCs w:val="24"/>
          <w:shd w:val="clear" w:color="auto" w:fill="FFFFFF"/>
        </w:rPr>
        <w:t xml:space="preserve"> predstavlja novi pristup integ</w:t>
      </w:r>
      <w:r>
        <w:rPr>
          <w:sz w:val="24"/>
          <w:szCs w:val="24"/>
          <w:shd w:val="clear" w:color="auto" w:fill="FFFFFF"/>
        </w:rPr>
        <w:t>riranih ulaganja</w:t>
      </w:r>
      <w:r w:rsidRPr="008B579E">
        <w:rPr>
          <w:sz w:val="24"/>
          <w:szCs w:val="24"/>
          <w:shd w:val="clear" w:color="auto" w:fill="FFFFFF"/>
        </w:rPr>
        <w:t xml:space="preserve"> u pet depriviranih pilot područja s ciljem smanjenja regionalnih razlila, socijalnih nejednakosti, isključenosti i siromaštva te daljnje</w:t>
      </w:r>
      <w:r>
        <w:rPr>
          <w:sz w:val="24"/>
          <w:szCs w:val="24"/>
          <w:shd w:val="clear" w:color="auto" w:fill="FFFFFF"/>
        </w:rPr>
        <w:t xml:space="preserve"> depopulacije</w:t>
      </w:r>
      <w:r w:rsidRPr="008B579E">
        <w:rPr>
          <w:sz w:val="24"/>
          <w:szCs w:val="24"/>
          <w:shd w:val="clear" w:color="auto" w:fill="FFFFFF"/>
        </w:rPr>
        <w:t xml:space="preserve"> za što je osigurano preko 900 milijuna kn. U okviru predmetnog Programa, projekti se provode  u Vukovaru, Belom Manastir</w:t>
      </w:r>
      <w:r>
        <w:rPr>
          <w:sz w:val="24"/>
          <w:szCs w:val="24"/>
          <w:shd w:val="clear" w:color="auto" w:fill="FFFFFF"/>
        </w:rPr>
        <w:t>u i</w:t>
      </w:r>
      <w:r w:rsidRPr="008B579E">
        <w:rPr>
          <w:sz w:val="24"/>
          <w:szCs w:val="24"/>
          <w:shd w:val="clear" w:color="auto" w:fill="FFFFFF"/>
        </w:rPr>
        <w:t xml:space="preserve"> Da</w:t>
      </w:r>
      <w:r>
        <w:rPr>
          <w:sz w:val="24"/>
          <w:szCs w:val="24"/>
          <w:shd w:val="clear" w:color="auto" w:fill="FFFFFF"/>
        </w:rPr>
        <w:t>rdi</w:t>
      </w:r>
      <w:r w:rsidRPr="008B579E">
        <w:rPr>
          <w:sz w:val="24"/>
          <w:szCs w:val="24"/>
          <w:shd w:val="clear" w:color="auto" w:fill="FFFFFF"/>
        </w:rPr>
        <w:t xml:space="preserve">. 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Aktivirana državna i</w:t>
      </w:r>
      <w:r w:rsidRPr="008B579E">
        <w:rPr>
          <w:b/>
          <w:sz w:val="24"/>
          <w:szCs w:val="24"/>
          <w:shd w:val="clear" w:color="auto" w:fill="FFFFFF"/>
        </w:rPr>
        <w:t>movina</w:t>
      </w: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t xml:space="preserve">U korist pet slavonskih županija u zadnje tri godine sklopljeno je ukupno 116 ugovora ukupne vrijednosti 240 milijuna kuna i 31 </w:t>
      </w:r>
      <w:proofErr w:type="spellStart"/>
      <w:r w:rsidRPr="008B579E">
        <w:rPr>
          <w:sz w:val="24"/>
          <w:szCs w:val="24"/>
          <w:shd w:val="clear" w:color="auto" w:fill="FFFFFF"/>
        </w:rPr>
        <w:t>tabularna</w:t>
      </w:r>
      <w:proofErr w:type="spellEnd"/>
      <w:r w:rsidRPr="008B579E">
        <w:rPr>
          <w:sz w:val="24"/>
          <w:szCs w:val="24"/>
          <w:shd w:val="clear" w:color="auto" w:fill="FFFFFF"/>
        </w:rPr>
        <w:t xml:space="preserve"> isprava koje su temelj za gotovo 2 milijarde kuna investicija. U posljednje tri godine na području pet slavons</w:t>
      </w:r>
      <w:r>
        <w:rPr>
          <w:sz w:val="24"/>
          <w:szCs w:val="24"/>
          <w:shd w:val="clear" w:color="auto" w:fill="FFFFFF"/>
        </w:rPr>
        <w:t>kih županija aktivirano je</w:t>
      </w:r>
      <w:r w:rsidRPr="008B579E">
        <w:rPr>
          <w:sz w:val="24"/>
          <w:szCs w:val="24"/>
          <w:shd w:val="clear" w:color="auto" w:fill="FFFFFF"/>
        </w:rPr>
        <w:t xml:space="preserve"> više od dva milijuna četvornih metara prostora.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Teritorijalna s</w:t>
      </w:r>
      <w:r w:rsidRPr="008B579E">
        <w:rPr>
          <w:b/>
          <w:sz w:val="24"/>
          <w:szCs w:val="24"/>
          <w:shd w:val="clear" w:color="auto" w:fill="FFFFFF"/>
        </w:rPr>
        <w:t xml:space="preserve">trategija </w:t>
      </w: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t>Projekt Slavonija, Baranja i Srijem</w:t>
      </w:r>
      <w:r>
        <w:rPr>
          <w:sz w:val="24"/>
          <w:szCs w:val="24"/>
          <w:shd w:val="clear" w:color="auto" w:fill="FFFFFF"/>
        </w:rPr>
        <w:t>,</w:t>
      </w:r>
      <w:r w:rsidRPr="008B579E">
        <w:rPr>
          <w:sz w:val="24"/>
          <w:szCs w:val="24"/>
          <w:shd w:val="clear" w:color="auto" w:fill="FFFFFF"/>
        </w:rPr>
        <w:t xml:space="preserve"> kao primjer osnaživanja općina, gradova i županija</w:t>
      </w:r>
      <w:r>
        <w:rPr>
          <w:sz w:val="24"/>
          <w:szCs w:val="24"/>
          <w:shd w:val="clear" w:color="auto" w:fill="FFFFFF"/>
        </w:rPr>
        <w:t>,</w:t>
      </w:r>
      <w:r w:rsidRPr="008B579E">
        <w:rPr>
          <w:sz w:val="24"/>
          <w:szCs w:val="24"/>
          <w:shd w:val="clear" w:color="auto" w:fill="FFFFFF"/>
        </w:rPr>
        <w:t xml:space="preserve">  prepoznat je i pohvaljen od strane Europske komisije, koja pozdravlja inicijativu </w:t>
      </w:r>
      <w:r>
        <w:rPr>
          <w:sz w:val="24"/>
          <w:szCs w:val="24"/>
          <w:shd w:val="clear" w:color="auto" w:fill="FFFFFF"/>
        </w:rPr>
        <w:t>Vlade</w:t>
      </w:r>
      <w:r w:rsidRPr="008B579E">
        <w:rPr>
          <w:sz w:val="24"/>
          <w:szCs w:val="24"/>
          <w:shd w:val="clear" w:color="auto" w:fill="FFFFFF"/>
        </w:rPr>
        <w:t xml:space="preserve"> da se u formatu Savjeta, kroz dijalog i partnerstvo, omogućava provedba projekata koji doprinose gospodarskom i društvenom napretku pet slavonskih županija</w:t>
      </w:r>
      <w:r>
        <w:rPr>
          <w:sz w:val="24"/>
          <w:szCs w:val="24"/>
          <w:shd w:val="clear" w:color="auto" w:fill="FFFFFF"/>
        </w:rPr>
        <w:t xml:space="preserve">. </w:t>
      </w:r>
      <w:r w:rsidRPr="008B579E">
        <w:rPr>
          <w:sz w:val="24"/>
          <w:szCs w:val="24"/>
          <w:shd w:val="clear" w:color="auto" w:fill="FFFFFF"/>
        </w:rPr>
        <w:t>Stoga, Savjet podržava prijedlog da se Projekt Slavonija, Baranja i Srijem dodatno predstavi u okviru nadolazećeg hrvatskog predsjedanja Vijećem Europske unije, posebno u okviru  prioriteta „Europa koja se razvija“.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t>Uzimajući u obzir važnost kontinuirane potpore razvoju općina, gradova i županija u pet slavonskih županija ostvaren</w:t>
      </w:r>
      <w:r>
        <w:rPr>
          <w:sz w:val="24"/>
          <w:szCs w:val="24"/>
          <w:shd w:val="clear" w:color="auto" w:fill="FFFFFF"/>
        </w:rPr>
        <w:t>e</w:t>
      </w:r>
      <w:r w:rsidRPr="008B579E">
        <w:rPr>
          <w:sz w:val="24"/>
          <w:szCs w:val="24"/>
          <w:shd w:val="clear" w:color="auto" w:fill="FFFFFF"/>
        </w:rPr>
        <w:t xml:space="preserve"> dosadašnjom provedbom ovog Projekta, Savjet pruža snažnu potporu nastavku aktivnosti u okviru projekta kroz prijedlog pripreme</w:t>
      </w:r>
      <w:r>
        <w:rPr>
          <w:sz w:val="24"/>
          <w:szCs w:val="24"/>
          <w:shd w:val="clear" w:color="auto" w:fill="FFFFFF"/>
        </w:rPr>
        <w:t xml:space="preserve"> T</w:t>
      </w:r>
      <w:r w:rsidRPr="008B579E">
        <w:rPr>
          <w:sz w:val="24"/>
          <w:szCs w:val="24"/>
          <w:shd w:val="clear" w:color="auto" w:fill="FFFFFF"/>
        </w:rPr>
        <w:t xml:space="preserve">eritorijalne strategije za Slavoniju, Baranju i Srijem. Teritorijalna strategija bit će izrađena u suradnji sa Svjetskom bankom u okviru </w:t>
      </w:r>
      <w:r>
        <w:rPr>
          <w:sz w:val="24"/>
          <w:szCs w:val="24"/>
          <w:shd w:val="clear" w:color="auto" w:fill="FFFFFF"/>
        </w:rPr>
        <w:t xml:space="preserve">Razvojnog sporazuma </w:t>
      </w:r>
      <w:proofErr w:type="spellStart"/>
      <w:r w:rsidRPr="008B579E">
        <w:rPr>
          <w:sz w:val="24"/>
          <w:szCs w:val="24"/>
          <w:shd w:val="clear" w:color="auto" w:fill="FFFFFF"/>
        </w:rPr>
        <w:t>sporazuma</w:t>
      </w:r>
      <w:proofErr w:type="spellEnd"/>
      <w:r>
        <w:rPr>
          <w:sz w:val="24"/>
          <w:szCs w:val="24"/>
          <w:shd w:val="clear" w:color="auto" w:fill="FFFFFF"/>
        </w:rPr>
        <w:t xml:space="preserve"> (</w:t>
      </w:r>
      <w:r w:rsidRPr="008B579E">
        <w:rPr>
          <w:sz w:val="24"/>
          <w:szCs w:val="24"/>
          <w:shd w:val="clear" w:color="auto" w:fill="FFFFFF"/>
        </w:rPr>
        <w:t>RAS</w:t>
      </w:r>
      <w:r>
        <w:rPr>
          <w:sz w:val="24"/>
          <w:szCs w:val="24"/>
          <w:shd w:val="clear" w:color="auto" w:fill="FFFFFF"/>
        </w:rPr>
        <w:t>)</w:t>
      </w:r>
      <w:r w:rsidRPr="008B579E">
        <w:rPr>
          <w:sz w:val="24"/>
          <w:szCs w:val="24"/>
          <w:shd w:val="clear" w:color="auto" w:fill="FFFFFF"/>
        </w:rPr>
        <w:t xml:space="preserve"> za Projekt Slavonija, Baranja i Srijem te će kroz zajedničko djelovanje omogućiti provedbu projekata od strateškog značaja i interesa građana s područja pet slavonskih županija. Stoga, Savjet prihvaća prijedlog za  izradu </w:t>
      </w:r>
      <w:r>
        <w:rPr>
          <w:sz w:val="24"/>
          <w:szCs w:val="24"/>
          <w:shd w:val="clear" w:color="auto" w:fill="FFFFFF"/>
        </w:rPr>
        <w:t>T</w:t>
      </w:r>
      <w:r w:rsidRPr="008B579E">
        <w:rPr>
          <w:sz w:val="24"/>
          <w:szCs w:val="24"/>
          <w:shd w:val="clear" w:color="auto" w:fill="FFFFFF"/>
        </w:rPr>
        <w:t>eritorijalne strategije Slavonije, Baranje i Srijema i podržava osnivanje Koordinacijskog vijeća.</w:t>
      </w:r>
    </w:p>
    <w:p w:rsidR="00A42BB9" w:rsidRPr="008B579E" w:rsidRDefault="00A42BB9" w:rsidP="00A42BB9">
      <w:pPr>
        <w:jc w:val="both"/>
      </w:pP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Dunavska s</w:t>
      </w:r>
      <w:r w:rsidRPr="008B579E">
        <w:rPr>
          <w:b/>
          <w:sz w:val="24"/>
          <w:szCs w:val="24"/>
          <w:shd w:val="clear" w:color="auto" w:fill="FFFFFF"/>
        </w:rPr>
        <w:t>trategija</w:t>
      </w: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t>Republika Hrvatska u studenom</w:t>
      </w:r>
      <w:r>
        <w:rPr>
          <w:sz w:val="24"/>
          <w:szCs w:val="24"/>
          <w:shd w:val="clear" w:color="auto" w:fill="FFFFFF"/>
        </w:rPr>
        <w:t>e</w:t>
      </w:r>
      <w:r w:rsidRPr="008B579E">
        <w:rPr>
          <w:sz w:val="24"/>
          <w:szCs w:val="24"/>
          <w:shd w:val="clear" w:color="auto" w:fill="FFFFFF"/>
        </w:rPr>
        <w:t xml:space="preserve"> 2019. godine preuzela </w:t>
      </w:r>
      <w:r>
        <w:rPr>
          <w:sz w:val="24"/>
          <w:szCs w:val="24"/>
          <w:shd w:val="clear" w:color="auto" w:fill="FFFFFF"/>
        </w:rPr>
        <w:t xml:space="preserve">je </w:t>
      </w:r>
      <w:r w:rsidRPr="008B579E">
        <w:rPr>
          <w:sz w:val="24"/>
          <w:szCs w:val="24"/>
          <w:shd w:val="clear" w:color="auto" w:fill="FFFFFF"/>
        </w:rPr>
        <w:t xml:space="preserve">predsjedanje Dunavskom strategijom koja je službeno predstavljena u Vukovaru.  Strategija je osmišljena s ciljem jačanja regionalnoga razvoja, sinergije između </w:t>
      </w:r>
      <w:r>
        <w:rPr>
          <w:sz w:val="24"/>
          <w:szCs w:val="24"/>
          <w:shd w:val="clear" w:color="auto" w:fill="FFFFFF"/>
        </w:rPr>
        <w:t>makro-</w:t>
      </w:r>
      <w:r w:rsidRPr="008B579E">
        <w:rPr>
          <w:sz w:val="24"/>
          <w:szCs w:val="24"/>
          <w:shd w:val="clear" w:color="auto" w:fill="FFFFFF"/>
        </w:rPr>
        <w:t xml:space="preserve">regionalnih strategija i kohezije te poticanja suradnje s državama u </w:t>
      </w:r>
      <w:r>
        <w:rPr>
          <w:sz w:val="24"/>
          <w:szCs w:val="24"/>
          <w:shd w:val="clear" w:color="auto" w:fill="FFFFFF"/>
        </w:rPr>
        <w:t>Podunavskom području.</w:t>
      </w:r>
      <w:r w:rsidRPr="008B579E">
        <w:rPr>
          <w:sz w:val="24"/>
          <w:szCs w:val="24"/>
          <w:shd w:val="clear" w:color="auto" w:fill="FFFFFF"/>
        </w:rPr>
        <w:t xml:space="preserve"> </w:t>
      </w: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U</w:t>
      </w:r>
      <w:r w:rsidRPr="008B579E">
        <w:rPr>
          <w:b/>
          <w:sz w:val="24"/>
          <w:szCs w:val="24"/>
          <w:shd w:val="clear" w:color="auto" w:fill="FFFFFF"/>
        </w:rPr>
        <w:t>govori dodijeljeni nakon sjednice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  <w:r w:rsidRPr="008B579E">
        <w:rPr>
          <w:sz w:val="24"/>
          <w:szCs w:val="24"/>
          <w:shd w:val="clear" w:color="auto" w:fill="FFFFFF"/>
        </w:rPr>
        <w:lastRenderedPageBreak/>
        <w:t xml:space="preserve">Nakon sjednice Savjeta Slavonije, Baranje i Srijema u Vukovaru je </w:t>
      </w:r>
      <w:r w:rsidRPr="008B579E">
        <w:rPr>
          <w:bCs/>
          <w:sz w:val="24"/>
          <w:szCs w:val="24"/>
        </w:rPr>
        <w:t>uručeno 22 ugovora i 9 odluka ukupne vrijednosti veće od 690 milijuna kuna, od čega</w:t>
      </w:r>
      <w:r>
        <w:rPr>
          <w:bCs/>
          <w:sz w:val="24"/>
          <w:szCs w:val="24"/>
        </w:rPr>
        <w:t xml:space="preserve"> je u sklopu projekta Slavonija, Baranja i Srijem 480 milijuna kuna.</w:t>
      </w:r>
      <w:r w:rsidRPr="008B579E">
        <w:rPr>
          <w:bCs/>
          <w:sz w:val="24"/>
          <w:szCs w:val="24"/>
        </w:rPr>
        <w:t xml:space="preserve"> </w:t>
      </w:r>
    </w:p>
    <w:p w:rsidR="00A42BB9" w:rsidRPr="008B579E" w:rsidRDefault="00A42BB9" w:rsidP="00A42BB9">
      <w:pPr>
        <w:jc w:val="both"/>
        <w:rPr>
          <w:sz w:val="24"/>
          <w:szCs w:val="24"/>
          <w:shd w:val="clear" w:color="auto" w:fill="FFFFFF"/>
        </w:rPr>
      </w:pPr>
    </w:p>
    <w:p w:rsidR="00A42BB9" w:rsidRPr="000A6B52" w:rsidRDefault="00A42BB9" w:rsidP="00A42BB9">
      <w:pPr>
        <w:jc w:val="both"/>
      </w:pPr>
      <w:r w:rsidRPr="008B579E">
        <w:rPr>
          <w:sz w:val="24"/>
          <w:szCs w:val="24"/>
          <w:shd w:val="clear" w:color="auto" w:fill="FFFFFF"/>
        </w:rPr>
        <w:t>Sljedeća sjednica Savjeta za Slavoniju, Baranju</w:t>
      </w:r>
      <w:r>
        <w:rPr>
          <w:sz w:val="24"/>
          <w:szCs w:val="24"/>
          <w:shd w:val="clear" w:color="auto" w:fill="FFFFFF"/>
        </w:rPr>
        <w:t xml:space="preserve"> i Srijem održat će se u Našicama.</w:t>
      </w:r>
    </w:p>
    <w:p w:rsidR="00A42BB9" w:rsidRDefault="00A42BB9" w:rsidP="00A42BB9">
      <w:pPr>
        <w:jc w:val="both"/>
        <w:rPr>
          <w:sz w:val="28"/>
          <w:szCs w:val="32"/>
        </w:rPr>
      </w:pPr>
    </w:p>
    <w:sectPr w:rsidR="00A42BB9" w:rsidSect="004E7F7D">
      <w:footerReference w:type="default" r:id="rId9"/>
      <w:endnotePr>
        <w:numFmt w:val="chicago"/>
      </w:endnotePr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A3" w:rsidRDefault="00DB38A3">
      <w:r>
        <w:separator/>
      </w:r>
    </w:p>
  </w:endnote>
  <w:endnote w:type="continuationSeparator" w:id="0">
    <w:p w:rsidR="00DB38A3" w:rsidRDefault="00D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7D" w:rsidRPr="004E7F7D" w:rsidRDefault="004E7F7D" w:rsidP="004E7F7D">
    <w:pPr>
      <w:pStyle w:val="Heading1"/>
      <w:pBdr>
        <w:top w:val="single" w:sz="4" w:space="1" w:color="auto"/>
      </w:pBdr>
      <w:ind w:left="-142" w:right="-142"/>
      <w:jc w:val="center"/>
      <w:rPr>
        <w:sz w:val="20"/>
      </w:rPr>
    </w:pPr>
    <w:r w:rsidRPr="004E7F7D">
      <w:rPr>
        <w:rFonts w:ascii="Garamond" w:hAnsi="Garamond"/>
        <w:sz w:val="20"/>
      </w:rPr>
      <w:t xml:space="preserve">Banski dvori | Trg Sv. Marka 2, Zagreb | tel. </w:t>
    </w:r>
    <w:r>
      <w:rPr>
        <w:rFonts w:ascii="Garamond" w:hAnsi="Garamond"/>
        <w:sz w:val="20"/>
      </w:rPr>
      <w:t xml:space="preserve">+385 1 </w:t>
    </w:r>
    <w:r w:rsidRPr="004E7F7D">
      <w:rPr>
        <w:rFonts w:ascii="Garamond" w:hAnsi="Garamond"/>
        <w:sz w:val="20"/>
      </w:rPr>
      <w:t xml:space="preserve">4569 239 | </w:t>
    </w:r>
    <w:r>
      <w:rPr>
        <w:rFonts w:ascii="Garamond" w:hAnsi="Garamond"/>
        <w:sz w:val="20"/>
      </w:rPr>
      <w:t xml:space="preserve">fax: +385 1 </w:t>
    </w:r>
    <w:r w:rsidRPr="004E7F7D">
      <w:rPr>
        <w:rFonts w:ascii="Garamond" w:hAnsi="Garamond"/>
        <w:sz w:val="20"/>
      </w:rPr>
      <w:t xml:space="preserve">6303 022 | </w:t>
    </w:r>
    <w:hyperlink r:id="rId1" w:history="1">
      <w:r w:rsidR="000A0913" w:rsidRPr="000A0913">
        <w:rPr>
          <w:rStyle w:val="Hyperlink"/>
          <w:rFonts w:ascii="Garamond" w:hAnsi="Garamond"/>
          <w:color w:val="auto"/>
          <w:sz w:val="20"/>
          <w:u w:val="none"/>
        </w:rPr>
        <w:t>press@vlada.hr</w:t>
      </w:r>
    </w:hyperlink>
    <w:r w:rsidR="000A0913" w:rsidRPr="000A0913">
      <w:rPr>
        <w:rFonts w:ascii="Garamond" w:hAnsi="Garamond"/>
        <w:sz w:val="20"/>
      </w:rPr>
      <w:t xml:space="preserve"> </w:t>
    </w:r>
    <w:r w:rsidRPr="004E7F7D">
      <w:rPr>
        <w:rFonts w:ascii="Garamond" w:hAnsi="Garamond"/>
        <w:sz w:val="20"/>
        <w:lang w:val="fr-FR"/>
      </w:rPr>
      <w:t>|</w:t>
    </w:r>
    <w:r>
      <w:rPr>
        <w:rFonts w:ascii="Garamond" w:hAnsi="Garamond"/>
        <w:sz w:val="20"/>
        <w:lang w:val="fr-FR"/>
      </w:rPr>
      <w:t xml:space="preserve"> </w:t>
    </w:r>
    <w:hyperlink r:id="rId2" w:history="1">
      <w:r w:rsidRPr="000A0913">
        <w:rPr>
          <w:rStyle w:val="Hyperlink"/>
          <w:rFonts w:ascii="Garamond" w:hAnsi="Garamond"/>
          <w:color w:val="auto"/>
          <w:sz w:val="20"/>
          <w:u w:val="none"/>
        </w:rPr>
        <w:t>vlada.gov.hr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A3" w:rsidRDefault="00DB38A3">
      <w:r>
        <w:separator/>
      </w:r>
    </w:p>
  </w:footnote>
  <w:footnote w:type="continuationSeparator" w:id="0">
    <w:p w:rsidR="00DB38A3" w:rsidRDefault="00DB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035"/>
    <w:multiLevelType w:val="multilevel"/>
    <w:tmpl w:val="566AAE4E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A811D4"/>
    <w:multiLevelType w:val="multilevel"/>
    <w:tmpl w:val="3DD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208CD"/>
    <w:multiLevelType w:val="hybridMultilevel"/>
    <w:tmpl w:val="E37C9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A0E80"/>
    <w:multiLevelType w:val="multilevel"/>
    <w:tmpl w:val="ED821D8A"/>
    <w:lvl w:ilvl="0">
      <w:start w:val="19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A224CF7"/>
    <w:multiLevelType w:val="hybridMultilevel"/>
    <w:tmpl w:val="ACDE3B9E"/>
    <w:lvl w:ilvl="0" w:tplc="30C2D936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1537A2"/>
    <w:multiLevelType w:val="multilevel"/>
    <w:tmpl w:val="F452A74E"/>
    <w:lvl w:ilvl="0">
      <w:start w:val="17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3D"/>
    <w:rsid w:val="00000039"/>
    <w:rsid w:val="0000239B"/>
    <w:rsid w:val="00004B38"/>
    <w:rsid w:val="00016A1C"/>
    <w:rsid w:val="00031404"/>
    <w:rsid w:val="000314DA"/>
    <w:rsid w:val="00040B71"/>
    <w:rsid w:val="00052CE6"/>
    <w:rsid w:val="00063649"/>
    <w:rsid w:val="000640AA"/>
    <w:rsid w:val="000641E6"/>
    <w:rsid w:val="0007401C"/>
    <w:rsid w:val="000765CE"/>
    <w:rsid w:val="00076C0F"/>
    <w:rsid w:val="00077718"/>
    <w:rsid w:val="00081709"/>
    <w:rsid w:val="00081E37"/>
    <w:rsid w:val="00085D1E"/>
    <w:rsid w:val="00091FAC"/>
    <w:rsid w:val="000A022D"/>
    <w:rsid w:val="000A0913"/>
    <w:rsid w:val="000A502A"/>
    <w:rsid w:val="000A6405"/>
    <w:rsid w:val="000B5877"/>
    <w:rsid w:val="000B658F"/>
    <w:rsid w:val="000C3B3F"/>
    <w:rsid w:val="000C4173"/>
    <w:rsid w:val="000C58A3"/>
    <w:rsid w:val="000D01B7"/>
    <w:rsid w:val="000D6573"/>
    <w:rsid w:val="000E605F"/>
    <w:rsid w:val="000E7925"/>
    <w:rsid w:val="000F08AE"/>
    <w:rsid w:val="000F34B5"/>
    <w:rsid w:val="00100611"/>
    <w:rsid w:val="00103128"/>
    <w:rsid w:val="001114F6"/>
    <w:rsid w:val="00116AE1"/>
    <w:rsid w:val="00116FC0"/>
    <w:rsid w:val="00126EE6"/>
    <w:rsid w:val="00132449"/>
    <w:rsid w:val="00141F1A"/>
    <w:rsid w:val="001424C0"/>
    <w:rsid w:val="001443BE"/>
    <w:rsid w:val="00144C4E"/>
    <w:rsid w:val="00162E6D"/>
    <w:rsid w:val="0017122E"/>
    <w:rsid w:val="00176557"/>
    <w:rsid w:val="00182A62"/>
    <w:rsid w:val="00183185"/>
    <w:rsid w:val="00183D51"/>
    <w:rsid w:val="00192B5B"/>
    <w:rsid w:val="0019486F"/>
    <w:rsid w:val="00195089"/>
    <w:rsid w:val="00195436"/>
    <w:rsid w:val="001A00A8"/>
    <w:rsid w:val="001A04AC"/>
    <w:rsid w:val="001A4C70"/>
    <w:rsid w:val="001A63E5"/>
    <w:rsid w:val="001B72BA"/>
    <w:rsid w:val="001C63A0"/>
    <w:rsid w:val="001C78ED"/>
    <w:rsid w:val="001D17A5"/>
    <w:rsid w:val="001D39E7"/>
    <w:rsid w:val="001F0AD3"/>
    <w:rsid w:val="001F3A15"/>
    <w:rsid w:val="001F4113"/>
    <w:rsid w:val="00206179"/>
    <w:rsid w:val="00210120"/>
    <w:rsid w:val="00215973"/>
    <w:rsid w:val="00216401"/>
    <w:rsid w:val="0022787B"/>
    <w:rsid w:val="002304C0"/>
    <w:rsid w:val="002363D5"/>
    <w:rsid w:val="00244451"/>
    <w:rsid w:val="00247211"/>
    <w:rsid w:val="002477B5"/>
    <w:rsid w:val="00254BF2"/>
    <w:rsid w:val="00265092"/>
    <w:rsid w:val="002669A3"/>
    <w:rsid w:val="00266EBF"/>
    <w:rsid w:val="00274B9B"/>
    <w:rsid w:val="00276BBB"/>
    <w:rsid w:val="002842FA"/>
    <w:rsid w:val="00287A98"/>
    <w:rsid w:val="0029010A"/>
    <w:rsid w:val="002A0EB4"/>
    <w:rsid w:val="002A1BB4"/>
    <w:rsid w:val="002A322A"/>
    <w:rsid w:val="002B03B0"/>
    <w:rsid w:val="002B1285"/>
    <w:rsid w:val="002B2542"/>
    <w:rsid w:val="002B46F7"/>
    <w:rsid w:val="002C1FB4"/>
    <w:rsid w:val="002C4D73"/>
    <w:rsid w:val="002C7C6A"/>
    <w:rsid w:val="002D1752"/>
    <w:rsid w:val="002D2ED3"/>
    <w:rsid w:val="002E0968"/>
    <w:rsid w:val="002F0DA2"/>
    <w:rsid w:val="002F2B80"/>
    <w:rsid w:val="002F3E20"/>
    <w:rsid w:val="0030629E"/>
    <w:rsid w:val="00306553"/>
    <w:rsid w:val="003224B2"/>
    <w:rsid w:val="00327181"/>
    <w:rsid w:val="003279C7"/>
    <w:rsid w:val="00330963"/>
    <w:rsid w:val="00330C41"/>
    <w:rsid w:val="00342AA9"/>
    <w:rsid w:val="003447F1"/>
    <w:rsid w:val="00345E14"/>
    <w:rsid w:val="003476CE"/>
    <w:rsid w:val="0035462E"/>
    <w:rsid w:val="0035480D"/>
    <w:rsid w:val="00356749"/>
    <w:rsid w:val="00356C9F"/>
    <w:rsid w:val="0035754C"/>
    <w:rsid w:val="00357D74"/>
    <w:rsid w:val="00365707"/>
    <w:rsid w:val="00380593"/>
    <w:rsid w:val="00380B9C"/>
    <w:rsid w:val="003927EE"/>
    <w:rsid w:val="003933EC"/>
    <w:rsid w:val="00397383"/>
    <w:rsid w:val="003A1B2C"/>
    <w:rsid w:val="003A5BBC"/>
    <w:rsid w:val="003B344B"/>
    <w:rsid w:val="003B3D3C"/>
    <w:rsid w:val="003C0791"/>
    <w:rsid w:val="003D6B42"/>
    <w:rsid w:val="003E275E"/>
    <w:rsid w:val="003E7E4C"/>
    <w:rsid w:val="003F05A0"/>
    <w:rsid w:val="003F1B5D"/>
    <w:rsid w:val="003F2779"/>
    <w:rsid w:val="003F35F1"/>
    <w:rsid w:val="003F4CA4"/>
    <w:rsid w:val="003F631F"/>
    <w:rsid w:val="003F7866"/>
    <w:rsid w:val="00403439"/>
    <w:rsid w:val="00407CC3"/>
    <w:rsid w:val="00412F00"/>
    <w:rsid w:val="0041369B"/>
    <w:rsid w:val="00420FE2"/>
    <w:rsid w:val="00424DBE"/>
    <w:rsid w:val="004254F8"/>
    <w:rsid w:val="00426283"/>
    <w:rsid w:val="00427B40"/>
    <w:rsid w:val="00430291"/>
    <w:rsid w:val="00436865"/>
    <w:rsid w:val="00445A2F"/>
    <w:rsid w:val="00454391"/>
    <w:rsid w:val="004548FA"/>
    <w:rsid w:val="004612D0"/>
    <w:rsid w:val="004746C9"/>
    <w:rsid w:val="00482333"/>
    <w:rsid w:val="004856DB"/>
    <w:rsid w:val="00486068"/>
    <w:rsid w:val="00486654"/>
    <w:rsid w:val="004A1091"/>
    <w:rsid w:val="004B18E7"/>
    <w:rsid w:val="004C0564"/>
    <w:rsid w:val="004C2DB9"/>
    <w:rsid w:val="004C3DE9"/>
    <w:rsid w:val="004E7F7D"/>
    <w:rsid w:val="004F3F76"/>
    <w:rsid w:val="004F4A42"/>
    <w:rsid w:val="004F7796"/>
    <w:rsid w:val="005003EF"/>
    <w:rsid w:val="00506353"/>
    <w:rsid w:val="005138D6"/>
    <w:rsid w:val="005160DB"/>
    <w:rsid w:val="00531F2D"/>
    <w:rsid w:val="00541BE4"/>
    <w:rsid w:val="0054345A"/>
    <w:rsid w:val="00543F38"/>
    <w:rsid w:val="0054702A"/>
    <w:rsid w:val="005473FB"/>
    <w:rsid w:val="00547985"/>
    <w:rsid w:val="00550B37"/>
    <w:rsid w:val="00553B31"/>
    <w:rsid w:val="005605CC"/>
    <w:rsid w:val="00560CDA"/>
    <w:rsid w:val="0056268B"/>
    <w:rsid w:val="00564B31"/>
    <w:rsid w:val="00565BDE"/>
    <w:rsid w:val="005663E5"/>
    <w:rsid w:val="00574CEF"/>
    <w:rsid w:val="00581725"/>
    <w:rsid w:val="00581CC2"/>
    <w:rsid w:val="00585705"/>
    <w:rsid w:val="00595443"/>
    <w:rsid w:val="00596777"/>
    <w:rsid w:val="005A11AC"/>
    <w:rsid w:val="005A1DA4"/>
    <w:rsid w:val="005A49FF"/>
    <w:rsid w:val="005B048E"/>
    <w:rsid w:val="005C1D4D"/>
    <w:rsid w:val="005C6D55"/>
    <w:rsid w:val="005D25E4"/>
    <w:rsid w:val="005D3B77"/>
    <w:rsid w:val="005D4F28"/>
    <w:rsid w:val="005E223A"/>
    <w:rsid w:val="006059D7"/>
    <w:rsid w:val="006063F4"/>
    <w:rsid w:val="00613AEA"/>
    <w:rsid w:val="00616231"/>
    <w:rsid w:val="00623D0D"/>
    <w:rsid w:val="0062457B"/>
    <w:rsid w:val="0062683A"/>
    <w:rsid w:val="00636845"/>
    <w:rsid w:val="00640FA6"/>
    <w:rsid w:val="00641897"/>
    <w:rsid w:val="006455E2"/>
    <w:rsid w:val="006459DB"/>
    <w:rsid w:val="0067023E"/>
    <w:rsid w:val="00672DD3"/>
    <w:rsid w:val="006732CA"/>
    <w:rsid w:val="00674F79"/>
    <w:rsid w:val="006816BC"/>
    <w:rsid w:val="00682301"/>
    <w:rsid w:val="0068268D"/>
    <w:rsid w:val="0068360A"/>
    <w:rsid w:val="00683FCF"/>
    <w:rsid w:val="00684039"/>
    <w:rsid w:val="00684BA6"/>
    <w:rsid w:val="00695E75"/>
    <w:rsid w:val="006B166E"/>
    <w:rsid w:val="006C0F57"/>
    <w:rsid w:val="006C532C"/>
    <w:rsid w:val="006D5979"/>
    <w:rsid w:val="006E02F1"/>
    <w:rsid w:val="006E17E1"/>
    <w:rsid w:val="006E6CF7"/>
    <w:rsid w:val="006F328E"/>
    <w:rsid w:val="006F4CBA"/>
    <w:rsid w:val="006F4FC8"/>
    <w:rsid w:val="006F6262"/>
    <w:rsid w:val="0070178C"/>
    <w:rsid w:val="007031EE"/>
    <w:rsid w:val="00703A37"/>
    <w:rsid w:val="0070485A"/>
    <w:rsid w:val="00707812"/>
    <w:rsid w:val="0071460F"/>
    <w:rsid w:val="00716332"/>
    <w:rsid w:val="00716E44"/>
    <w:rsid w:val="00723B58"/>
    <w:rsid w:val="0075603A"/>
    <w:rsid w:val="00757FF7"/>
    <w:rsid w:val="00760069"/>
    <w:rsid w:val="00761864"/>
    <w:rsid w:val="00767444"/>
    <w:rsid w:val="00774291"/>
    <w:rsid w:val="00774499"/>
    <w:rsid w:val="00786B3B"/>
    <w:rsid w:val="007A1110"/>
    <w:rsid w:val="007B0DB8"/>
    <w:rsid w:val="007B1BBC"/>
    <w:rsid w:val="007C1051"/>
    <w:rsid w:val="007C3657"/>
    <w:rsid w:val="007C461A"/>
    <w:rsid w:val="007C6F10"/>
    <w:rsid w:val="007D2C38"/>
    <w:rsid w:val="007E0364"/>
    <w:rsid w:val="007E5CC3"/>
    <w:rsid w:val="007E7C87"/>
    <w:rsid w:val="007F4FD0"/>
    <w:rsid w:val="008004DA"/>
    <w:rsid w:val="008006A4"/>
    <w:rsid w:val="00803B26"/>
    <w:rsid w:val="00806FF9"/>
    <w:rsid w:val="00811082"/>
    <w:rsid w:val="008122CC"/>
    <w:rsid w:val="008165D6"/>
    <w:rsid w:val="008214F2"/>
    <w:rsid w:val="008228FA"/>
    <w:rsid w:val="00837DD2"/>
    <w:rsid w:val="008447BD"/>
    <w:rsid w:val="00844D9C"/>
    <w:rsid w:val="00847E65"/>
    <w:rsid w:val="00847EE4"/>
    <w:rsid w:val="008524BD"/>
    <w:rsid w:val="00856CED"/>
    <w:rsid w:val="008601F0"/>
    <w:rsid w:val="00864840"/>
    <w:rsid w:val="008671CF"/>
    <w:rsid w:val="008726B7"/>
    <w:rsid w:val="008753F5"/>
    <w:rsid w:val="008757EC"/>
    <w:rsid w:val="00892847"/>
    <w:rsid w:val="008A051A"/>
    <w:rsid w:val="008A05BB"/>
    <w:rsid w:val="008A6962"/>
    <w:rsid w:val="008C2412"/>
    <w:rsid w:val="008C52BC"/>
    <w:rsid w:val="008C5849"/>
    <w:rsid w:val="008D4692"/>
    <w:rsid w:val="008D4F3A"/>
    <w:rsid w:val="008D535D"/>
    <w:rsid w:val="008E2C4F"/>
    <w:rsid w:val="008F1C2C"/>
    <w:rsid w:val="008F6EB2"/>
    <w:rsid w:val="00902B26"/>
    <w:rsid w:val="00913AB8"/>
    <w:rsid w:val="00914D1E"/>
    <w:rsid w:val="00916A38"/>
    <w:rsid w:val="00920D46"/>
    <w:rsid w:val="00927034"/>
    <w:rsid w:val="0092785E"/>
    <w:rsid w:val="00935835"/>
    <w:rsid w:val="00935C1C"/>
    <w:rsid w:val="00937E5E"/>
    <w:rsid w:val="00940B4E"/>
    <w:rsid w:val="009413E8"/>
    <w:rsid w:val="00943630"/>
    <w:rsid w:val="00945410"/>
    <w:rsid w:val="0094737F"/>
    <w:rsid w:val="00955246"/>
    <w:rsid w:val="00956D90"/>
    <w:rsid w:val="0096238A"/>
    <w:rsid w:val="0097573C"/>
    <w:rsid w:val="00981302"/>
    <w:rsid w:val="009826A3"/>
    <w:rsid w:val="009B533D"/>
    <w:rsid w:val="009B5B95"/>
    <w:rsid w:val="009B62F6"/>
    <w:rsid w:val="009C1B74"/>
    <w:rsid w:val="009C6C78"/>
    <w:rsid w:val="009D0F88"/>
    <w:rsid w:val="009D4A86"/>
    <w:rsid w:val="009E1BB5"/>
    <w:rsid w:val="009E2DA7"/>
    <w:rsid w:val="009E4418"/>
    <w:rsid w:val="009E5B25"/>
    <w:rsid w:val="009F1D0E"/>
    <w:rsid w:val="009F28CD"/>
    <w:rsid w:val="009F526B"/>
    <w:rsid w:val="00A05990"/>
    <w:rsid w:val="00A202BB"/>
    <w:rsid w:val="00A22D8E"/>
    <w:rsid w:val="00A252F3"/>
    <w:rsid w:val="00A277F5"/>
    <w:rsid w:val="00A31D1E"/>
    <w:rsid w:val="00A34AE7"/>
    <w:rsid w:val="00A350CB"/>
    <w:rsid w:val="00A42BB9"/>
    <w:rsid w:val="00A43E78"/>
    <w:rsid w:val="00A478E0"/>
    <w:rsid w:val="00A50AAB"/>
    <w:rsid w:val="00A50D7A"/>
    <w:rsid w:val="00A51F39"/>
    <w:rsid w:val="00A51F5B"/>
    <w:rsid w:val="00A613CA"/>
    <w:rsid w:val="00A61675"/>
    <w:rsid w:val="00A657CB"/>
    <w:rsid w:val="00A72378"/>
    <w:rsid w:val="00A74A84"/>
    <w:rsid w:val="00A767A4"/>
    <w:rsid w:val="00A81885"/>
    <w:rsid w:val="00A94597"/>
    <w:rsid w:val="00A97CEC"/>
    <w:rsid w:val="00AA4B29"/>
    <w:rsid w:val="00AA6326"/>
    <w:rsid w:val="00AB196D"/>
    <w:rsid w:val="00AB3450"/>
    <w:rsid w:val="00AB4D7F"/>
    <w:rsid w:val="00AB662D"/>
    <w:rsid w:val="00AC09DC"/>
    <w:rsid w:val="00AC3F93"/>
    <w:rsid w:val="00AC42CB"/>
    <w:rsid w:val="00AC6CE3"/>
    <w:rsid w:val="00AD36C3"/>
    <w:rsid w:val="00AE12A4"/>
    <w:rsid w:val="00AE239E"/>
    <w:rsid w:val="00AE44D2"/>
    <w:rsid w:val="00AE6E35"/>
    <w:rsid w:val="00AF2B31"/>
    <w:rsid w:val="00B003D7"/>
    <w:rsid w:val="00B07B3A"/>
    <w:rsid w:val="00B12431"/>
    <w:rsid w:val="00B12A27"/>
    <w:rsid w:val="00B21D0E"/>
    <w:rsid w:val="00B277D0"/>
    <w:rsid w:val="00B379A1"/>
    <w:rsid w:val="00B44E95"/>
    <w:rsid w:val="00B547E2"/>
    <w:rsid w:val="00B548B2"/>
    <w:rsid w:val="00B5613C"/>
    <w:rsid w:val="00B620C3"/>
    <w:rsid w:val="00B624F8"/>
    <w:rsid w:val="00B650EF"/>
    <w:rsid w:val="00B66656"/>
    <w:rsid w:val="00B701B5"/>
    <w:rsid w:val="00B70BD4"/>
    <w:rsid w:val="00B75E24"/>
    <w:rsid w:val="00B77BB8"/>
    <w:rsid w:val="00B83E97"/>
    <w:rsid w:val="00B8717F"/>
    <w:rsid w:val="00B90A6B"/>
    <w:rsid w:val="00B933E0"/>
    <w:rsid w:val="00BA23B8"/>
    <w:rsid w:val="00BA2725"/>
    <w:rsid w:val="00BA4C48"/>
    <w:rsid w:val="00BA6C54"/>
    <w:rsid w:val="00BC1C99"/>
    <w:rsid w:val="00BD0301"/>
    <w:rsid w:val="00BD3B33"/>
    <w:rsid w:val="00BD5D12"/>
    <w:rsid w:val="00BE0013"/>
    <w:rsid w:val="00BE3B10"/>
    <w:rsid w:val="00BF2F26"/>
    <w:rsid w:val="00BF63AF"/>
    <w:rsid w:val="00C21046"/>
    <w:rsid w:val="00C2270F"/>
    <w:rsid w:val="00C2608C"/>
    <w:rsid w:val="00C32953"/>
    <w:rsid w:val="00C352A1"/>
    <w:rsid w:val="00C47AD3"/>
    <w:rsid w:val="00C50EF8"/>
    <w:rsid w:val="00C55AD9"/>
    <w:rsid w:val="00C60B94"/>
    <w:rsid w:val="00C82CB7"/>
    <w:rsid w:val="00C84282"/>
    <w:rsid w:val="00C84478"/>
    <w:rsid w:val="00C90329"/>
    <w:rsid w:val="00C97703"/>
    <w:rsid w:val="00CA33A0"/>
    <w:rsid w:val="00CA3EB4"/>
    <w:rsid w:val="00CA60CE"/>
    <w:rsid w:val="00CB07E3"/>
    <w:rsid w:val="00CB2D7D"/>
    <w:rsid w:val="00CB42B9"/>
    <w:rsid w:val="00CB5D31"/>
    <w:rsid w:val="00CC3D6D"/>
    <w:rsid w:val="00CD2407"/>
    <w:rsid w:val="00CD441C"/>
    <w:rsid w:val="00CD7288"/>
    <w:rsid w:val="00CE2092"/>
    <w:rsid w:val="00CE5BA2"/>
    <w:rsid w:val="00CE5D69"/>
    <w:rsid w:val="00CF434E"/>
    <w:rsid w:val="00CF4536"/>
    <w:rsid w:val="00CF74AF"/>
    <w:rsid w:val="00CF7989"/>
    <w:rsid w:val="00CF7FAD"/>
    <w:rsid w:val="00D02495"/>
    <w:rsid w:val="00D05F9C"/>
    <w:rsid w:val="00D11A9A"/>
    <w:rsid w:val="00D23DDF"/>
    <w:rsid w:val="00D25C69"/>
    <w:rsid w:val="00D265D9"/>
    <w:rsid w:val="00D46A09"/>
    <w:rsid w:val="00D46AAE"/>
    <w:rsid w:val="00D474B9"/>
    <w:rsid w:val="00D47E91"/>
    <w:rsid w:val="00D50B14"/>
    <w:rsid w:val="00D53A46"/>
    <w:rsid w:val="00D57853"/>
    <w:rsid w:val="00D67678"/>
    <w:rsid w:val="00D676E0"/>
    <w:rsid w:val="00D67EDD"/>
    <w:rsid w:val="00D77461"/>
    <w:rsid w:val="00D85D9C"/>
    <w:rsid w:val="00D9117D"/>
    <w:rsid w:val="00D9128E"/>
    <w:rsid w:val="00D9634E"/>
    <w:rsid w:val="00DB38A3"/>
    <w:rsid w:val="00DB5732"/>
    <w:rsid w:val="00DC16D8"/>
    <w:rsid w:val="00DC508C"/>
    <w:rsid w:val="00DC61D4"/>
    <w:rsid w:val="00DC75A3"/>
    <w:rsid w:val="00DD3DFE"/>
    <w:rsid w:val="00DE45A8"/>
    <w:rsid w:val="00DE4EF9"/>
    <w:rsid w:val="00DF7008"/>
    <w:rsid w:val="00E01DAB"/>
    <w:rsid w:val="00E05820"/>
    <w:rsid w:val="00E10241"/>
    <w:rsid w:val="00E1546A"/>
    <w:rsid w:val="00E2184C"/>
    <w:rsid w:val="00E220CF"/>
    <w:rsid w:val="00E2294E"/>
    <w:rsid w:val="00E22C3F"/>
    <w:rsid w:val="00E25D43"/>
    <w:rsid w:val="00E279D4"/>
    <w:rsid w:val="00E304F5"/>
    <w:rsid w:val="00E32AAA"/>
    <w:rsid w:val="00E331C7"/>
    <w:rsid w:val="00E57BB1"/>
    <w:rsid w:val="00E60CDD"/>
    <w:rsid w:val="00E6570B"/>
    <w:rsid w:val="00E709EB"/>
    <w:rsid w:val="00E81015"/>
    <w:rsid w:val="00E82568"/>
    <w:rsid w:val="00E87D11"/>
    <w:rsid w:val="00E90968"/>
    <w:rsid w:val="00EA211B"/>
    <w:rsid w:val="00EA3349"/>
    <w:rsid w:val="00EA3461"/>
    <w:rsid w:val="00EA4F71"/>
    <w:rsid w:val="00EA740B"/>
    <w:rsid w:val="00EB364C"/>
    <w:rsid w:val="00EB704E"/>
    <w:rsid w:val="00EC6B13"/>
    <w:rsid w:val="00EC7640"/>
    <w:rsid w:val="00ED0941"/>
    <w:rsid w:val="00ED3EDD"/>
    <w:rsid w:val="00ED6F70"/>
    <w:rsid w:val="00ED7DA4"/>
    <w:rsid w:val="00EE21FC"/>
    <w:rsid w:val="00EE605F"/>
    <w:rsid w:val="00F02BD6"/>
    <w:rsid w:val="00F031EF"/>
    <w:rsid w:val="00F037A8"/>
    <w:rsid w:val="00F16666"/>
    <w:rsid w:val="00F21183"/>
    <w:rsid w:val="00F229F0"/>
    <w:rsid w:val="00F22B40"/>
    <w:rsid w:val="00F23AA8"/>
    <w:rsid w:val="00F26FF8"/>
    <w:rsid w:val="00F271D5"/>
    <w:rsid w:val="00F32A4E"/>
    <w:rsid w:val="00F40F9D"/>
    <w:rsid w:val="00F428F3"/>
    <w:rsid w:val="00F54096"/>
    <w:rsid w:val="00F563FA"/>
    <w:rsid w:val="00F67441"/>
    <w:rsid w:val="00F67666"/>
    <w:rsid w:val="00F703EA"/>
    <w:rsid w:val="00F70FF0"/>
    <w:rsid w:val="00F74EB0"/>
    <w:rsid w:val="00F7634D"/>
    <w:rsid w:val="00F829FD"/>
    <w:rsid w:val="00F830F6"/>
    <w:rsid w:val="00F860F1"/>
    <w:rsid w:val="00F94419"/>
    <w:rsid w:val="00F9526F"/>
    <w:rsid w:val="00FA47F6"/>
    <w:rsid w:val="00FC2423"/>
    <w:rsid w:val="00FC412E"/>
    <w:rsid w:val="00FC6CF0"/>
    <w:rsid w:val="00FD287A"/>
    <w:rsid w:val="00FD6FA0"/>
    <w:rsid w:val="00FF2C01"/>
    <w:rsid w:val="00FF4CE3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26475"/>
  <w15:docId w15:val="{5EE5CD83-4C55-41E4-9D09-45336E9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2B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0EB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A0EB4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rsid w:val="00D9634E"/>
  </w:style>
  <w:style w:type="character" w:customStyle="1" w:styleId="apple-converted-space">
    <w:name w:val="apple-converted-space"/>
    <w:rsid w:val="008D4692"/>
  </w:style>
  <w:style w:type="paragraph" w:styleId="NormalWeb">
    <w:name w:val="Normal (Web)"/>
    <w:basedOn w:val="Normal"/>
    <w:uiPriority w:val="99"/>
    <w:unhideWhenUsed/>
    <w:rsid w:val="00940B4E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Emphasis">
    <w:name w:val="Emphasis"/>
    <w:uiPriority w:val="20"/>
    <w:qFormat/>
    <w:rsid w:val="00940B4E"/>
    <w:rPr>
      <w:i/>
      <w:iCs/>
    </w:rPr>
  </w:style>
  <w:style w:type="character" w:styleId="Strong">
    <w:name w:val="Strong"/>
    <w:uiPriority w:val="22"/>
    <w:qFormat/>
    <w:rsid w:val="003224B2"/>
    <w:rPr>
      <w:b/>
      <w:bCs/>
    </w:rPr>
  </w:style>
  <w:style w:type="paragraph" w:customStyle="1" w:styleId="Default">
    <w:name w:val="Default"/>
    <w:rsid w:val="008A69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F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11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54391"/>
    <w:rPr>
      <w:lang w:eastAsia="en-US"/>
    </w:rPr>
  </w:style>
  <w:style w:type="paragraph" w:customStyle="1" w:styleId="gmail-western">
    <w:name w:val="gmail-western"/>
    <w:basedOn w:val="Normal"/>
    <w:rsid w:val="009B5B95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customStyle="1" w:styleId="s3">
    <w:name w:val="s3"/>
    <w:basedOn w:val="Normal"/>
    <w:rsid w:val="00F23AA8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F23AA8"/>
  </w:style>
  <w:style w:type="table" w:styleId="TableGrid">
    <w:name w:val="Table Grid"/>
    <w:basedOn w:val="TableNormal"/>
    <w:uiPriority w:val="39"/>
    <w:rsid w:val="00E058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E05820"/>
    <w:pPr>
      <w:spacing w:after="240" w:line="276" w:lineRule="auto"/>
      <w:ind w:left="360"/>
      <w:jc w:val="both"/>
    </w:pPr>
    <w:rPr>
      <w:sz w:val="32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5820"/>
    <w:rPr>
      <w:sz w:val="32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05820"/>
    <w:pPr>
      <w:spacing w:after="160" w:line="259" w:lineRule="auto"/>
      <w:jc w:val="center"/>
    </w:pPr>
    <w:rPr>
      <w:rFonts w:eastAsiaTheme="minorHAnsi"/>
      <w:b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rsid w:val="00E05820"/>
    <w:rPr>
      <w:rFonts w:eastAsiaTheme="minorHAnsi"/>
      <w:b/>
      <w:sz w:val="34"/>
      <w:szCs w:val="3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05820"/>
    <w:pPr>
      <w:keepLines/>
      <w:spacing w:after="120" w:line="276" w:lineRule="auto"/>
      <w:ind w:left="68"/>
      <w:jc w:val="both"/>
    </w:pPr>
    <w:rPr>
      <w:rFonts w:eastAsiaTheme="minorHAnsi"/>
      <w:sz w:val="28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5820"/>
    <w:rPr>
      <w:rFonts w:eastAsiaTheme="minorHAnsi"/>
      <w:sz w:val="28"/>
      <w:szCs w:val="32"/>
      <w:lang w:eastAsia="en-US"/>
    </w:rPr>
  </w:style>
  <w:style w:type="paragraph" w:customStyle="1" w:styleId="s12">
    <w:name w:val="s12"/>
    <w:basedOn w:val="Normal"/>
    <w:uiPriority w:val="99"/>
    <w:rsid w:val="00E279D4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customStyle="1" w:styleId="s13">
    <w:name w:val="s13"/>
    <w:basedOn w:val="Normal"/>
    <w:uiPriority w:val="99"/>
    <w:semiHidden/>
    <w:rsid w:val="00E279D4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character" w:customStyle="1" w:styleId="s14">
    <w:name w:val="s14"/>
    <w:basedOn w:val="DefaultParagraphFont"/>
    <w:rsid w:val="00E279D4"/>
  </w:style>
  <w:style w:type="character" w:customStyle="1" w:styleId="s15">
    <w:name w:val="s15"/>
    <w:basedOn w:val="DefaultParagraphFont"/>
    <w:rsid w:val="00E279D4"/>
  </w:style>
  <w:style w:type="character" w:customStyle="1" w:styleId="Heading3Char">
    <w:name w:val="Heading 3 Char"/>
    <w:basedOn w:val="DefaultParagraphFont"/>
    <w:link w:val="Heading3"/>
    <w:semiHidden/>
    <w:rsid w:val="00A42B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lada.gov.hr/" TargetMode="External"/><Relationship Id="rId1" Type="http://schemas.openxmlformats.org/officeDocument/2006/relationships/hyperlink" Target="mailto:press@vlad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uhovski\Application%20Data\Microsoft\Predlo&#353;ci\Obavijes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24C0-4CC1-4502-BA67-78C9AB02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Obavijesti</Template>
  <TotalTime>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RH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spuhovski</dc:creator>
  <cp:lastModifiedBy>Paula Popravak</cp:lastModifiedBy>
  <cp:revision>3</cp:revision>
  <cp:lastPrinted>2018-07-27T10:27:00Z</cp:lastPrinted>
  <dcterms:created xsi:type="dcterms:W3CDTF">2019-12-09T16:16:00Z</dcterms:created>
  <dcterms:modified xsi:type="dcterms:W3CDTF">2019-12-09T16:19:00Z</dcterms:modified>
</cp:coreProperties>
</file>