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98D" w:rsidRPr="0073656B" w:rsidRDefault="0031298D" w:rsidP="00691A39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65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PRILOG II</w:t>
      </w:r>
    </w:p>
    <w:p w:rsidR="0031298D" w:rsidRDefault="0031298D" w:rsidP="0031298D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7EAE" w:rsidRPr="008C7B35" w:rsidRDefault="000F7EAE" w:rsidP="00B9461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C7B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DOKUMENTACIJA ZA PODNOŠENJE ZAHTJEVA ZA POTPORU</w:t>
      </w:r>
      <w:r w:rsidR="0064108F" w:rsidRPr="008C7B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ZA OPERACIJU 4.1.</w:t>
      </w:r>
      <w:r w:rsidR="0048549B" w:rsidRPr="008C7B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</w:p>
    <w:p w:rsidR="0034256C" w:rsidRPr="000F7EAE" w:rsidRDefault="0034256C" w:rsidP="00B9461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9121"/>
      </w:tblGrid>
      <w:tr w:rsidR="00320D77" w:rsidRPr="000F7EAE" w:rsidTr="00693AF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EAE" w:rsidRPr="000F7EAE" w:rsidRDefault="00320D77" w:rsidP="00B9461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DOKUMENTACIJA ZA BODOVANJE ZAHTJEVA ZA POTPORU PREMA KRITERIJIMA ODABIRA – </w:t>
            </w:r>
            <w:r w:rsidR="007D0A09" w:rsidRPr="007D0A09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Ukoliko korisnik nije zadovoljio određeni kriterij/nije učitao ob</w:t>
            </w:r>
            <w:r w:rsidR="00643F6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="007D0A09" w:rsidRPr="007D0A09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vezan dokument za provjeru kriterija odabira, bodovi za taj kriterij neće biti dodijeljeni odnosno iznosit će 0</w:t>
            </w:r>
            <w:r w:rsidR="0048549B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(nula)</w:t>
            </w:r>
            <w:r w:rsidR="007D0A09" w:rsidRPr="007D0A09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723842" w:rsidRPr="000F7EAE" w:rsidTr="00621968">
        <w:trPr>
          <w:trHeight w:val="749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EAE" w:rsidRPr="000F7EAE" w:rsidRDefault="00320D77" w:rsidP="00B9461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59E0" w:rsidRPr="00DA79B8" w:rsidRDefault="004959E0" w:rsidP="00B9461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79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Kriterij 1: Veličina gospodarstva SO</w:t>
            </w:r>
          </w:p>
          <w:p w:rsidR="007B1EAB" w:rsidRDefault="007B1EAB" w:rsidP="00B9461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A79B8">
              <w:rPr>
                <w:rFonts w:ascii="Times New Roman" w:hAnsi="Times New Roman" w:cs="Times New Roman"/>
                <w:b/>
                <w:sz w:val="24"/>
                <w:szCs w:val="24"/>
              </w:rPr>
              <w:t>Izračun ekonomske veličine poljoprivrednog gospodarstva izdan i potpisan od strane Savjetodavne službe, izdan nakon objave Natječaja</w:t>
            </w:r>
            <w:r w:rsidR="00B91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1445" w:rsidRPr="00E25C4F" w:rsidRDefault="007D0A0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0A09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="007B1EAB" w:rsidRPr="00890D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Pojašnjenje:</w:t>
            </w:r>
            <w:r w:rsidR="003938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B1EAB" w:rsidRPr="00B524E8">
              <w:rPr>
                <w:rFonts w:ascii="Times New Roman" w:hAnsi="Times New Roman" w:cs="Times New Roman"/>
                <w:i/>
                <w:sz w:val="24"/>
                <w:szCs w:val="24"/>
              </w:rPr>
              <w:t>Temeljem</w:t>
            </w:r>
            <w:r w:rsidR="007B1E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podataka iz</w:t>
            </w:r>
            <w:r w:rsidR="007B1EAB" w:rsidRPr="00B524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Izračuna ekonomske veličine poljoprivrednog gospodarstva dodjeljuju </w:t>
            </w:r>
            <w:r w:rsidR="00AE78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se </w:t>
            </w:r>
            <w:r w:rsidR="007B1EAB" w:rsidRPr="00B524E8">
              <w:rPr>
                <w:rFonts w:ascii="Times New Roman" w:hAnsi="Times New Roman" w:cs="Times New Roman"/>
                <w:i/>
                <w:sz w:val="24"/>
                <w:szCs w:val="24"/>
              </w:rPr>
              <w:t>bodovi na kriteriju odabira “Veličina gospodarstva SO”</w:t>
            </w:r>
            <w:r w:rsidR="007B1EA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AE78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9F462E" w:rsidRPr="000F7EAE" w:rsidTr="0006406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462E" w:rsidRPr="000F7EAE" w:rsidRDefault="002421F2" w:rsidP="00B9461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F4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02233" w:rsidRPr="00DA79B8" w:rsidRDefault="004959E0" w:rsidP="007B1EA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79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Kriterij 2: </w:t>
            </w:r>
            <w:r w:rsidR="00CB593D" w:rsidRPr="00DA79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Sirovina obnovljivih izvora </w:t>
            </w:r>
            <w:r w:rsidR="00CB593D" w:rsidRPr="00B07C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energije</w:t>
            </w:r>
            <w:r w:rsidR="00B07C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CB593D" w:rsidRPr="00B07C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r w:rsidR="00B07C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CB593D" w:rsidRPr="00B07C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biomasa</w:t>
            </w:r>
          </w:p>
          <w:p w:rsidR="002F4330" w:rsidRPr="00DA79B8" w:rsidRDefault="002F4330" w:rsidP="007B1EA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79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Godišnji plan proizvodnje, potpisan i ovjeren od strane </w:t>
            </w:r>
            <w:r w:rsidR="00E56E33" w:rsidRPr="00DA79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odgovorne osobe.</w:t>
            </w:r>
          </w:p>
          <w:p w:rsidR="004959E0" w:rsidRPr="00702233" w:rsidRDefault="00E25C4F" w:rsidP="00BE7BA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90D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Pojašnjenje:</w:t>
            </w:r>
            <w:r w:rsidR="002F43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C4C0F" w:rsidRPr="00BD77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Navedeni dokument korisnik je obvezan izraditi sukladno Pravilniku o stjecanju statusa povlaštenog proizvođača električne energije</w:t>
            </w:r>
            <w:r w:rsidR="00B546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B546D1" w:rsidRPr="005B02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(NN</w:t>
            </w:r>
            <w:r w:rsidR="00BE7BA8" w:rsidRPr="005B02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hyperlink r:id="rId6" w:tgtFrame="_blank" w:history="1">
              <w:r w:rsidR="00BE7BA8" w:rsidRPr="005B0208">
                <w:rPr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</w:rPr>
                <w:t>132/13</w:t>
              </w:r>
            </w:hyperlink>
            <w:r w:rsidR="00BE7BA8" w:rsidRPr="005B02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; NN </w:t>
            </w:r>
            <w:hyperlink r:id="rId7" w:tgtFrame="_blank" w:history="1">
              <w:r w:rsidR="00BE7BA8" w:rsidRPr="005B0208">
                <w:rPr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</w:rPr>
                <w:t>81/14</w:t>
              </w:r>
            </w:hyperlink>
            <w:r w:rsidR="00BE7BA8" w:rsidRPr="005B02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; NN </w:t>
            </w:r>
            <w:hyperlink r:id="rId8" w:tgtFrame="_blank" w:history="1">
              <w:r w:rsidR="00BE7BA8" w:rsidRPr="005B0208">
                <w:rPr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</w:rPr>
                <w:t>93/14</w:t>
              </w:r>
            </w:hyperlink>
            <w:r w:rsidR="00BE7BA8" w:rsidRPr="005B02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; NN </w:t>
            </w:r>
            <w:hyperlink r:id="rId9" w:tgtFrame="_blank" w:history="1">
              <w:r w:rsidR="00BE7BA8" w:rsidRPr="005B0208">
                <w:rPr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</w:rPr>
                <w:t>24/15</w:t>
              </w:r>
            </w:hyperlink>
            <w:r w:rsidR="00BE7BA8" w:rsidRPr="005B02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; NN </w:t>
            </w:r>
            <w:hyperlink r:id="rId10" w:tgtFrame="_blank" w:history="1">
              <w:r w:rsidR="00BE7BA8" w:rsidRPr="005B0208">
                <w:rPr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</w:rPr>
                <w:t>99/15</w:t>
              </w:r>
            </w:hyperlink>
            <w:r w:rsidR="00BE7BA8" w:rsidRPr="005B02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; NN </w:t>
            </w:r>
            <w:hyperlink r:id="rId11" w:tgtFrame="_blank" w:history="1">
              <w:r w:rsidR="00BE7BA8" w:rsidRPr="005B0208">
                <w:rPr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</w:rPr>
                <w:t>110/15</w:t>
              </w:r>
            </w:hyperlink>
            <w:r w:rsidR="00BE7BA8" w:rsidRPr="005B02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2C4C0F" w:rsidRPr="005B02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r w:rsidR="00490EF7" w:rsidRPr="005B02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U dokumen</w:t>
            </w:r>
            <w:r w:rsidR="00490EF7" w:rsidRPr="00BE7B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tu mora biti naveden podatak</w:t>
            </w:r>
            <w:r w:rsidR="00490E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B4A43">
              <w:rPr>
                <w:rFonts w:ascii="Times New Roman" w:hAnsi="Times New Roman" w:cs="Times New Roman"/>
                <w:i/>
                <w:sz w:val="24"/>
                <w:szCs w:val="24"/>
              </w:rPr>
              <w:t>koju vrstu obnovljivog</w:t>
            </w:r>
            <w:r w:rsidR="00490E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izvor</w:t>
            </w:r>
            <w:r w:rsidR="00BB4A43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="00490E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energije</w:t>
            </w:r>
            <w:r w:rsidR="00BB4A43">
              <w:rPr>
                <w:rFonts w:ascii="Times New Roman" w:hAnsi="Times New Roman" w:cs="Times New Roman"/>
                <w:i/>
                <w:sz w:val="24"/>
                <w:szCs w:val="24"/>
              </w:rPr>
              <w:t>, odnosno</w:t>
            </w:r>
            <w:r w:rsidR="00490E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B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koju sirovinu </w:t>
            </w:r>
            <w:r w:rsidR="00490E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postrojenje </w:t>
            </w:r>
            <w:r w:rsidR="00490EF7" w:rsidRPr="00D60B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za proizvodnju toplinske i</w:t>
            </w:r>
            <w:r w:rsidR="00490E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/ili</w:t>
            </w:r>
            <w:r w:rsidR="00490EF7" w:rsidRPr="00D60B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električne energije </w:t>
            </w:r>
            <w:r w:rsidR="00490E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planira koristiti. </w:t>
            </w:r>
            <w:r w:rsidR="004E5E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Bodove može ostvariti korisnik čije postrojenje kao obnovljivi izvor energije koristi biomasu</w:t>
            </w:r>
            <w:r w:rsidR="001018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(</w:t>
            </w:r>
            <w:r w:rsidR="009620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biomasa isključivo iz poljoprivred</w:t>
            </w:r>
            <w:r w:rsidR="006C6F5A" w:rsidRPr="006C6F5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 i šumarstva isključujući ribarstvo i akvakulturu te biološki razgradivi dio industrijskoga i komunalnoga otpada)</w:t>
            </w:r>
            <w:r w:rsidR="004E5E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</w:tr>
      <w:tr w:rsidR="009F462E" w:rsidRPr="000F7EAE" w:rsidTr="00AE0B7D">
        <w:trPr>
          <w:trHeight w:val="2064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462E" w:rsidRPr="000F7EAE" w:rsidRDefault="002421F2" w:rsidP="00B9461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462E" w:rsidRPr="00DA79B8" w:rsidRDefault="00F267A0" w:rsidP="00DA79B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A79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Kriterij 3: </w:t>
            </w:r>
            <w:r w:rsidR="00CB593D" w:rsidRPr="00DA79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Ulaganje na objektima bez mogućnosti pristupa električnoj mreži</w:t>
            </w:r>
          </w:p>
          <w:p w:rsidR="007218B7" w:rsidRDefault="00776A8F" w:rsidP="00776A8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03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Tehnički opis proizvodnog postrojenja, potpisan i ovjeren od strane odgovorne osobe</w:t>
            </w:r>
            <w:r w:rsidR="00DB0AFF" w:rsidRPr="005603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76A8F" w:rsidRDefault="00560383" w:rsidP="00776A8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  <w:p w:rsidR="00D547F4" w:rsidRPr="00D547F4" w:rsidRDefault="00D547F4" w:rsidP="00776A8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03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Potvrda izdana, potpisana i ovjerena od strane HEP Operator distribucijskog sustava d.o.o. da postrojenje za proizvodnju toplinske i/ili električne energije koje koristi obnovljive izvore energije nema mogućnost pristupa električnoj mreži.</w:t>
            </w:r>
          </w:p>
          <w:p w:rsidR="00560383" w:rsidRDefault="00E55707" w:rsidP="00AE0B7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90D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Pojašnjenje: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547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Tehnički opis proizvodnog postrojenja </w:t>
            </w:r>
            <w:r w:rsidR="00AE0B7D" w:rsidRPr="00F520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korisnik je obvezan izraditi sukladno Pravilniku o stjecanju statusa povlaštenog proizvođača električne </w:t>
            </w:r>
            <w:r w:rsidR="00AE0B7D" w:rsidRPr="005B02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energije</w:t>
            </w:r>
            <w:r w:rsidR="00FC2D21" w:rsidRPr="005B02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(</w:t>
            </w:r>
            <w:r w:rsidR="00BE7BA8" w:rsidRPr="005B02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NN </w:t>
            </w:r>
            <w:hyperlink r:id="rId12" w:tgtFrame="_blank" w:history="1">
              <w:r w:rsidR="00BE7BA8" w:rsidRPr="005B0208">
                <w:rPr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</w:rPr>
                <w:t>132/13</w:t>
              </w:r>
            </w:hyperlink>
            <w:r w:rsidR="00BE7BA8" w:rsidRPr="005B02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; NN </w:t>
            </w:r>
            <w:hyperlink r:id="rId13" w:tgtFrame="_blank" w:history="1">
              <w:r w:rsidR="00BE7BA8" w:rsidRPr="005B0208">
                <w:rPr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</w:rPr>
                <w:t>81/14</w:t>
              </w:r>
            </w:hyperlink>
            <w:r w:rsidR="00BE7BA8" w:rsidRPr="005B02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; NN </w:t>
            </w:r>
            <w:hyperlink r:id="rId14" w:tgtFrame="_blank" w:history="1">
              <w:r w:rsidR="00BE7BA8" w:rsidRPr="005B0208">
                <w:rPr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</w:rPr>
                <w:t>93/14</w:t>
              </w:r>
            </w:hyperlink>
            <w:r w:rsidR="00BE7BA8" w:rsidRPr="005B02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; NN </w:t>
            </w:r>
            <w:hyperlink r:id="rId15" w:tgtFrame="_blank" w:history="1">
              <w:r w:rsidR="00BE7BA8" w:rsidRPr="005B0208">
                <w:rPr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</w:rPr>
                <w:t>24/15</w:t>
              </w:r>
            </w:hyperlink>
            <w:r w:rsidR="00BE7BA8" w:rsidRPr="005B02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; NN </w:t>
            </w:r>
            <w:hyperlink r:id="rId16" w:tgtFrame="_blank" w:history="1">
              <w:r w:rsidR="00BE7BA8" w:rsidRPr="005B0208">
                <w:rPr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</w:rPr>
                <w:t>99/15</w:t>
              </w:r>
            </w:hyperlink>
            <w:r w:rsidR="00BE7BA8" w:rsidRPr="005B02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; NN </w:t>
            </w:r>
            <w:hyperlink r:id="rId17" w:tgtFrame="_blank" w:history="1">
              <w:r w:rsidR="00BE7BA8" w:rsidRPr="005B0208">
                <w:rPr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</w:rPr>
                <w:t>110/15</w:t>
              </w:r>
            </w:hyperlink>
            <w:r w:rsidR="00BE7BA8" w:rsidRPr="005B02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) </w:t>
            </w:r>
            <w:r w:rsidR="00AE0B7D" w:rsidRPr="005B02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te sukladno Smjernicama za izradu</w:t>
            </w:r>
            <w:r w:rsidR="00AE0B7D" w:rsidRPr="00F520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Tehničkog opisa proizvodnog postrojenja Hrvatske energetske regulatorne agenci</w:t>
            </w:r>
            <w:r w:rsidR="00AE0B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je. </w:t>
            </w:r>
          </w:p>
          <w:p w:rsidR="00D547F4" w:rsidRPr="00DA79B8" w:rsidRDefault="00E55707" w:rsidP="00AE0B7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 dokument</w:t>
            </w:r>
            <w:r w:rsidR="00560383">
              <w:rPr>
                <w:rFonts w:ascii="Times New Roman" w:hAnsi="Times New Roman" w:cs="Times New Roman"/>
                <w:i/>
                <w:sz w:val="24"/>
                <w:szCs w:val="24"/>
              </w:rPr>
              <w:t>ima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mora biti naveden podatak ima li postrojenje </w:t>
            </w:r>
            <w:r w:rsidR="00560BB3" w:rsidRPr="00D60B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za proizvodnju toplinske i</w:t>
            </w:r>
            <w:r w:rsidR="00560B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/ili</w:t>
            </w:r>
            <w:r w:rsidR="00560BB3" w:rsidRPr="00D60B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električne energije koje koristi obnovljive izvore </w:t>
            </w:r>
            <w:r w:rsidR="00560BB3" w:rsidRPr="000615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energije </w:t>
            </w:r>
            <w:r w:rsidR="00F86AF1" w:rsidRPr="000615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="00F86A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biom</w:t>
            </w:r>
            <w:r w:rsidR="005028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</w:t>
            </w:r>
            <w:r w:rsidR="002E6F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su isključivo iz poljoprivred</w:t>
            </w:r>
            <w:r w:rsidR="002E6F2D" w:rsidRPr="006C6F5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 i šumarstva isključujući ribarstvo i akvakulturu te biološki razgradivi dio ind</w:t>
            </w:r>
            <w:r w:rsidR="002E6F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ustrijskoga i komunalnoga otpada </w:t>
            </w:r>
            <w:r w:rsidR="002E6F2D" w:rsidRPr="002E6F2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i</w:t>
            </w:r>
            <w:r w:rsidR="00F86A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AA30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energija </w:t>
            </w:r>
            <w:r w:rsidR="00F86A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sunc</w:t>
            </w:r>
            <w:r w:rsidR="00AA30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</w:t>
            </w:r>
            <w:r w:rsidR="00F86A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) </w:t>
            </w:r>
            <w:r w:rsidRPr="00AA30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mogućnost </w:t>
            </w:r>
            <w:r w:rsidR="0025378B" w:rsidRPr="00AA30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pristupa </w:t>
            </w:r>
            <w:r w:rsidR="002F4330" w:rsidRPr="00AA30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električnoj mreži</w:t>
            </w:r>
            <w:r w:rsidRPr="00AA30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="00811D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Bodove može ostvariti </w:t>
            </w:r>
            <w:r w:rsidR="006D2A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korisnik čije </w:t>
            </w:r>
            <w:r w:rsidR="00811D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postrojenje </w:t>
            </w:r>
            <w:r w:rsidR="006D2A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nema mogućnost </w:t>
            </w:r>
            <w:r w:rsidR="00F4001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pristupa električnoj mreži.</w:t>
            </w:r>
            <w:r w:rsidR="00811D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9F462E" w:rsidRPr="009F462E" w:rsidTr="00693AF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462E" w:rsidRPr="009F462E" w:rsidRDefault="0067595D" w:rsidP="00B9461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462E" w:rsidRPr="00DA79B8" w:rsidRDefault="00811D3C" w:rsidP="00DA79B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A79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Kriterij 4: </w:t>
            </w:r>
            <w:r w:rsidR="00396BB4" w:rsidRPr="00DA79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Učinkovitost u korištenju OIE – kogeneracijska postrojenja</w:t>
            </w:r>
          </w:p>
          <w:p w:rsidR="00E56E33" w:rsidRPr="00DA79B8" w:rsidRDefault="00E56E33" w:rsidP="00DA79B8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A79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Glavni projekt i/ili Tipski projekt za koji je Ministarstvo graditeljstva i prostornog uređenja donijelo Rješenje o tipskom projektu - ovjereni i potpisani od strane ovlaštenog projektanata.</w:t>
            </w:r>
          </w:p>
          <w:p w:rsidR="0006156B" w:rsidRPr="009F462E" w:rsidRDefault="0006156B" w:rsidP="000615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Pojašnjenje: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Bodove može ostvariti korisnik koji ulaže u kogeneracijsko postrojenje.</w:t>
            </w:r>
          </w:p>
        </w:tc>
      </w:tr>
      <w:tr w:rsidR="009F462E" w:rsidRPr="000F7EAE" w:rsidTr="000F7EAE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462E" w:rsidRPr="000F7EAE" w:rsidRDefault="009F462E" w:rsidP="00B9461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OBVEZNA DOKUMENTACIJA ZA SVE KORISNIKE:</w:t>
            </w:r>
          </w:p>
        </w:tc>
      </w:tr>
      <w:tr w:rsidR="009F462E" w:rsidRPr="000F7EAE" w:rsidTr="000F7EA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462E" w:rsidRPr="000F7EAE" w:rsidRDefault="00677CF2" w:rsidP="00B9461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75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462E" w:rsidRPr="00DA79B8" w:rsidRDefault="009F462E" w:rsidP="00B9461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79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Potpisana i ovjerena Potvrda o podnošenju Zahtjeva za potporu.</w:t>
            </w:r>
          </w:p>
          <w:p w:rsidR="009F462E" w:rsidRPr="00B94618" w:rsidRDefault="009F462E" w:rsidP="00B9461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90D1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Pojašnjenje:</w:t>
            </w:r>
            <w:r w:rsidR="00FF309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B946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Nakon postupka popunjavanja/učitavanja propisane dokumentacije u Zahtjev za potporu u AGRONET-u korisnik treba odabirati opciju »PODNESI ZAHTJEV«. Nakon toga se pojavljuje link »Preuzmi« u stupcu pod nazivom »Zahtjev« putem kojeg korisnik preuzima/sprema/ispisuje Potvrdu o podnošenju Zahtjeva za potporu. Potvrdu o podnošenju Zahtjeva za potporu potrebno je ispisati, potpisati</w:t>
            </w:r>
            <w:r w:rsidR="004B6F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1E1B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i </w:t>
            </w:r>
            <w:r w:rsidRPr="00B946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ovjeriti i dostaviti preporučenom poštom s povratnicom ili osobno, na adresu iz ovoga natječaja.</w:t>
            </w:r>
          </w:p>
          <w:p w:rsidR="009F462E" w:rsidRPr="000F7EAE" w:rsidRDefault="009F462E" w:rsidP="00B9461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Dokument se dostavlja kao original u fizičkom obliku!</w:t>
            </w:r>
          </w:p>
        </w:tc>
      </w:tr>
      <w:tr w:rsidR="00C96C8C" w:rsidRPr="000F7EAE" w:rsidTr="000F7EA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6C8C" w:rsidRDefault="007F313C" w:rsidP="00B9461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6C8C" w:rsidRPr="00565EA2" w:rsidRDefault="007930CE" w:rsidP="001F5153">
            <w:pPr>
              <w:pStyle w:val="NoSpacing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65E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Izjava o veličini poduzeća</w:t>
            </w:r>
            <w:r w:rsidR="00A06479" w:rsidRPr="00565E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,</w:t>
            </w:r>
            <w:r w:rsidRPr="00565E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96C8C" w:rsidRPr="00565E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ovjerena (ukoliko je primjenjivo) i potpisana od strane korisnika.</w:t>
            </w:r>
          </w:p>
          <w:p w:rsidR="00C96C8C" w:rsidRPr="00565EA2" w:rsidRDefault="00C96C8C" w:rsidP="001F5153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65EA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Pojašnjenje:</w:t>
            </w:r>
            <w:r w:rsidR="00C31AE5" w:rsidRPr="00565EA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565EA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Dokument je obvezan za sve korisnike.</w:t>
            </w:r>
          </w:p>
          <w:p w:rsidR="009D548A" w:rsidRPr="00565EA2" w:rsidRDefault="00C96C8C" w:rsidP="001F5153">
            <w:pPr>
              <w:spacing w:after="0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565EA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Predložak Izjave se preuzima iz AGRONET-a, Zahtjeva za potporu i popunjeni predložak se učitava u Zahtjev za potporu. Predložak se također može naći i na stranici www. apprrr.hr - kartica “Ruralni razvoj/Mjera 4-Ulaganja u fizičku imovinu”</w:t>
            </w:r>
            <w:r w:rsidR="00871665" w:rsidRPr="00565EA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.</w:t>
            </w:r>
          </w:p>
          <w:p w:rsidR="009233A2" w:rsidRPr="00C96C8C" w:rsidRDefault="009233A2" w:rsidP="001F5153">
            <w:pPr>
              <w:pStyle w:val="NoSpacing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565EA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>Izjava mora biti dana is</w:t>
            </w:r>
            <w:r w:rsidR="00EC61D0" w:rsidRPr="00565EA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>ključivo na službenom predlošku,</w:t>
            </w:r>
            <w:r w:rsidRPr="00565EA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565EA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glasiti na korisnika, potpisana i ovjerena </w:t>
            </w:r>
            <w:r w:rsidR="00D654D5" w:rsidRPr="00565EA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</w:t>
            </w:r>
            <w:r w:rsidR="00D6493F" w:rsidRPr="00565EA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ovjerena ukoliko je primjenjivo) </w:t>
            </w:r>
            <w:r w:rsidRPr="00565EA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od strane korisnika.</w:t>
            </w:r>
          </w:p>
        </w:tc>
      </w:tr>
      <w:tr w:rsidR="009F462E" w:rsidRPr="000F7EAE" w:rsidTr="000F7EA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462E" w:rsidRPr="000F7EAE" w:rsidRDefault="007F313C" w:rsidP="00B9461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4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462E" w:rsidRPr="00A142CF" w:rsidRDefault="009F462E" w:rsidP="00B9461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42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Izjava korisnika je li obveznik javne nabave</w:t>
            </w:r>
            <w:r w:rsidR="00A0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1B1AA7" w:rsidRPr="00A142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142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ovjerena i potpisana od strane korisnika</w:t>
            </w:r>
            <w:r w:rsidR="00B91934" w:rsidRPr="00A142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9F462E" w:rsidRDefault="009F462E" w:rsidP="00B9461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90D1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Pojašnjenje:</w:t>
            </w:r>
            <w:r w:rsidR="00A142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B946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Predložak Izjave pruzima </w:t>
            </w:r>
            <w:r w:rsidR="00E11A03" w:rsidRPr="00B946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se </w:t>
            </w:r>
            <w:r w:rsidRPr="00B946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iz AGRONET-a, Zahtjeva za potporu i popunjeni učitava u Zahtjev za potporu. Predložak se također može naći i na stranici www. </w:t>
            </w:r>
            <w:proofErr w:type="gramStart"/>
            <w:r w:rsidRPr="00B946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apprrr.hr</w:t>
            </w:r>
            <w:proofErr w:type="gramEnd"/>
            <w:r w:rsidRPr="00B946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kartica “Ruralni razvoj/Mjera 4-Ulaganja u fizičku imovinu”</w:t>
            </w:r>
            <w:r w:rsidR="00B946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4B6FD1" w:rsidRPr="00854EF1" w:rsidRDefault="004B6FD1" w:rsidP="004B6FD1">
            <w:pPr>
              <w:pStyle w:val="NoSpacing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Izjava mora biti dana isključivo na službenom predlošku. </w:t>
            </w:r>
            <w:r w:rsidRPr="00854EF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Izjava mora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glasiti na korisnika, mora biti </w:t>
            </w:r>
            <w:r w:rsidRPr="00854EF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u cijelosti popunjena,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u izjavi je </w:t>
            </w:r>
            <w:r w:rsidRPr="00854EF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potrebno odgovoriti na sva pitanja, potpisana i ovjerena od strane korisnika.</w:t>
            </w:r>
          </w:p>
          <w:p w:rsidR="004B6FD1" w:rsidRPr="000F7EAE" w:rsidRDefault="004B6FD1" w:rsidP="004B6FD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F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hr-HR"/>
              </w:rPr>
              <w:t>OPG, obrti i druge fizičke osobe koji nisu obveznici javne nabave nisu obvezni popuniti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 i </w:t>
            </w:r>
            <w:r w:rsidRPr="00854EF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hr-HR"/>
              </w:rPr>
              <w:t>učitati ovaj dokument.</w:t>
            </w:r>
          </w:p>
        </w:tc>
      </w:tr>
      <w:tr w:rsidR="009F462E" w:rsidRPr="000F7EAE" w:rsidTr="000F7EA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462E" w:rsidRPr="000F7EAE" w:rsidRDefault="007F313C" w:rsidP="00B9461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9F4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1934" w:rsidRPr="00A142CF" w:rsidRDefault="009F462E" w:rsidP="00B9461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42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Izjava o nepostojanju sukoba interesa između korisnika i ponuditelja</w:t>
            </w:r>
            <w:r w:rsidR="00694C96" w:rsidRPr="00A142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ovjerena (ukoliko je primjenjivo) i potpisana od strane korisnika.</w:t>
            </w:r>
          </w:p>
          <w:p w:rsidR="009F462E" w:rsidRDefault="009F462E" w:rsidP="00B9461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90D1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Pojašnjenje:</w:t>
            </w:r>
            <w:r w:rsidR="00C53E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B946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Predložak Izjave pruzima </w:t>
            </w:r>
            <w:r w:rsidR="00792026" w:rsidRPr="00B946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se </w:t>
            </w:r>
            <w:r w:rsidRPr="00B946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iz AGRONET-a, Zahtjeva za potporu i popunjeni učitava u Zahtjev za potporu. Predložak se također može naći i na stranici www. </w:t>
            </w:r>
            <w:proofErr w:type="gramStart"/>
            <w:r w:rsidRPr="00B946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apprrr.hr</w:t>
            </w:r>
            <w:proofErr w:type="gramEnd"/>
            <w:r w:rsidRPr="00B946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kartica “Ruralni razvoj/Mjera 4-Ulaganja u fizičku imovinu”</w:t>
            </w:r>
            <w:r w:rsidR="00B946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594451" w:rsidRPr="000F7EAE" w:rsidRDefault="00594451" w:rsidP="00B9461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Izjava mora biti dana isključivo na službenom predlošku. </w:t>
            </w:r>
            <w:r w:rsidRPr="00321EC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Izjava mora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glasiti na korisnika, mora biti </w:t>
            </w:r>
            <w:r w:rsidRPr="00321EC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u cijelosti popunjena,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u izjavi moraju biti navedeni ponuditelji za sva prijavljena ulaganja, uključujući i ponuditelje za opće troškove.  </w:t>
            </w:r>
          </w:p>
        </w:tc>
      </w:tr>
      <w:tr w:rsidR="009F462E" w:rsidRPr="000F7EAE" w:rsidTr="000F7EA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462E" w:rsidRPr="000F7EAE" w:rsidRDefault="007F313C" w:rsidP="00B9461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  <w:r w:rsidR="009F462E" w:rsidRPr="000F7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95D" w:rsidRPr="00C53E5B" w:rsidRDefault="009F462E" w:rsidP="00B946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3E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Tablica troškova i izračuna potpore</w:t>
            </w:r>
            <w:r w:rsidR="00B91934" w:rsidRPr="00C53E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9F462E" w:rsidRPr="00C53E5B" w:rsidRDefault="0067595D" w:rsidP="00792026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90D1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Pojašnjenje:</w:t>
            </w:r>
            <w:r w:rsidR="00C53E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9F462E" w:rsidRPr="00B946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Predložak Tablice troškova i izračuna potpore pruzima </w:t>
            </w:r>
            <w:r w:rsidR="00792026" w:rsidRPr="00B946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se </w:t>
            </w:r>
            <w:r w:rsidR="009F462E" w:rsidRPr="00B946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iz AGRONET-a, Zahtjeva za potporu i popunjena se učitava u Zahtjev za potporu. Predložak se također može naći i na stranici www. </w:t>
            </w:r>
            <w:proofErr w:type="gramStart"/>
            <w:r w:rsidR="009F462E" w:rsidRPr="00B946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apprrr.hr</w:t>
            </w:r>
            <w:proofErr w:type="gramEnd"/>
            <w:r w:rsidR="009F462E" w:rsidRPr="00B946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kartica “Ruralni razvoj/Mjera 4-Ulaganja</w:t>
            </w:r>
            <w:r w:rsidR="002621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9F462E" w:rsidRPr="00B946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u fizičku imovinu”</w:t>
            </w:r>
            <w:r w:rsidR="00B946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</w:tr>
      <w:tr w:rsidR="00850E51" w:rsidRPr="000F7EAE" w:rsidTr="00917EA8">
        <w:trPr>
          <w:trHeight w:val="702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0E51" w:rsidRDefault="007F313C" w:rsidP="00B9461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675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0E51" w:rsidRPr="00917EA8" w:rsidRDefault="00694C96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53D">
              <w:rPr>
                <w:rFonts w:ascii="Times New Roman" w:hAnsi="Times New Roman" w:cs="Times New Roman"/>
                <w:b/>
                <w:sz w:val="24"/>
                <w:szCs w:val="24"/>
              </w:rPr>
              <w:t>Izračun ekonomske veličine poljoprivrednog gospodarstva izdan i potpisan od strane Savjetodavne službe, izdan nakon objave Natječaja</w:t>
            </w:r>
            <w:r w:rsidR="00B91934" w:rsidRPr="00B615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F462E" w:rsidRPr="000F7EAE" w:rsidTr="00693AF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462E" w:rsidRPr="000F7EAE" w:rsidRDefault="007F313C" w:rsidP="00B9461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675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462E" w:rsidRPr="00B6153D" w:rsidRDefault="009F462E" w:rsidP="00694C9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15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Potvrda Porezne uprave iz koje je vidljivo da korisnik ima regulirane financijske obveze prema drža</w:t>
            </w:r>
            <w:r w:rsidR="00940DC3" w:rsidRPr="00B615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vnom proračunu ne starija od </w:t>
            </w:r>
            <w:r w:rsidRPr="00B615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30 dana na dan podnošenja </w:t>
            </w:r>
            <w:r w:rsidR="0024534C" w:rsidRPr="00B615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 xml:space="preserve">Potvrde o podnošenju </w:t>
            </w:r>
            <w:r w:rsidRPr="00B615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Zahtjeva za potporu i ovjerena od strane Porezne uprave. </w:t>
            </w:r>
          </w:p>
        </w:tc>
      </w:tr>
      <w:tr w:rsidR="009F462E" w:rsidRPr="000F7EAE" w:rsidTr="000D536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462E" w:rsidRPr="000F7EAE" w:rsidRDefault="007F313C" w:rsidP="00B9461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675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462E" w:rsidRPr="008E0BC8" w:rsidRDefault="009F462E" w:rsidP="00B9461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0B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Ponuda za svako pojedino ulaganje </w:t>
            </w:r>
            <w:r w:rsidR="00694C96" w:rsidRPr="008E0B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 </w:t>
            </w:r>
            <w:r w:rsidRPr="008E0B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ponuda/račun za opći trošak.</w:t>
            </w:r>
          </w:p>
          <w:p w:rsidR="00EF292F" w:rsidRDefault="00EF292F" w:rsidP="00771BB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0A231C" w:rsidRPr="00B94618" w:rsidRDefault="009F462E" w:rsidP="00771BB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90D1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Pojašnjenje:</w:t>
            </w:r>
            <w:r w:rsidR="00771BB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781445" w:rsidRPr="00B946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</w:t>
            </w:r>
            <w:r w:rsidRPr="00B946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ačuni za opće troškove mogu biti prihvatljivi i prije podnošenja Zahtjeva za potporu, ali ne ranije od 1. siječnja 2014.</w:t>
            </w:r>
          </w:p>
          <w:p w:rsidR="009F462E" w:rsidRPr="00B94618" w:rsidRDefault="000A231C" w:rsidP="00771BB9">
            <w:pPr>
              <w:pStyle w:val="NoSpacing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B9461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Ponude moraju biti važeće na dan podnošenja </w:t>
            </w:r>
            <w:r w:rsidR="00E261C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Potvrde o podnošenju </w:t>
            </w:r>
            <w:r w:rsidRPr="00B9461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Zahtjeva za potporu.</w:t>
            </w:r>
            <w:r w:rsidR="00FF084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Na ponudi za ulaganje i ponudi ili računu za opći trošak mora biti  naveden datum izdavanja istih. Na ponudi za ulaganja i ponudi za opći trošak mora biti naveden datum</w:t>
            </w:r>
            <w:r w:rsidR="000D3E9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(rok)</w:t>
            </w:r>
            <w:r w:rsidR="00FF084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važenja.</w:t>
            </w:r>
          </w:p>
          <w:p w:rsidR="009F462E" w:rsidRPr="00B94618" w:rsidRDefault="00694C96" w:rsidP="00771BB9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524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Ukoliko je korisnik prikupio ponude na jeziku koji nije hrvatski ili engleski, korisnik mora priložiti i ovjereni prijevod sudskog tumača navedenih</w:t>
            </w:r>
            <w:r w:rsidR="00E261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ponuda.</w:t>
            </w:r>
          </w:p>
          <w:p w:rsidR="009F462E" w:rsidRPr="00B94618" w:rsidRDefault="009F462E" w:rsidP="00771BB9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946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Valuta u kojoj je iskazan iznos mora biti navedena u ponudi/računu.</w:t>
            </w:r>
          </w:p>
          <w:p w:rsidR="009F462E" w:rsidRPr="000F7EAE" w:rsidRDefault="009F462E" w:rsidP="00771BB9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Ponuda/račun mora biti ovjeren i potpisan od strane ponuditelja.</w:t>
            </w:r>
          </w:p>
        </w:tc>
      </w:tr>
      <w:tr w:rsidR="009F462E" w:rsidRPr="000F7EAE" w:rsidTr="000F7EA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462E" w:rsidRPr="000F7EAE" w:rsidRDefault="007F313C" w:rsidP="00B9461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9F462E" w:rsidRPr="000F7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462E" w:rsidRPr="00E03D25" w:rsidRDefault="008D35E1" w:rsidP="00B9461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3D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Dokument izdan</w:t>
            </w:r>
            <w:r w:rsidR="00CD1C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potpisan</w:t>
            </w:r>
            <w:r w:rsidR="00B933B5" w:rsidRPr="00E03D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i ovjeren</w:t>
            </w:r>
            <w:r w:rsidRPr="00E03D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od strane Ministarstva zaštite ok</w:t>
            </w:r>
            <w:r w:rsidR="00AF3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</w:t>
            </w:r>
            <w:r w:rsidRPr="00E03D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liša i prirode</w:t>
            </w:r>
            <w:r w:rsidR="003463BE" w:rsidRPr="00E03D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i/ili Uprave za zaštitu prirode. </w:t>
            </w:r>
          </w:p>
          <w:p w:rsidR="009F462E" w:rsidRPr="000F7EAE" w:rsidRDefault="00A277D6" w:rsidP="003463B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63BE" w:rsidRPr="00890D1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Pojašnjenje:</w:t>
            </w:r>
            <w:r w:rsidR="003463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3463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Dokument koji je korisnik obvezan dostaviti ovisno o ulaganju propisan je u dokumentu pripremljenom od strane Ministarstva zaštite okoliša </w:t>
            </w:r>
            <w:r w:rsidR="001979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i </w:t>
            </w:r>
            <w:r w:rsidR="003463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prirode</w:t>
            </w:r>
            <w:r w:rsidR="00532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koji se nalazi na </w:t>
            </w:r>
            <w:r w:rsidR="002D0E75" w:rsidRPr="00B946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na stranici www. </w:t>
            </w:r>
            <w:proofErr w:type="gramStart"/>
            <w:r w:rsidR="002D0E75" w:rsidRPr="00B946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apprrr.hr</w:t>
            </w:r>
            <w:proofErr w:type="gramEnd"/>
            <w:r w:rsidR="002D0E75" w:rsidRPr="00B946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kartica “Ruralni razvoj/Mjera 4-Ulaganja</w:t>
            </w:r>
            <w:r w:rsidR="001979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2D0E75" w:rsidRPr="00B946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u fizičku imovinu”</w:t>
            </w:r>
            <w:r w:rsidR="002D0E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(Predlošci i upute-operacija 4.1.3).</w:t>
            </w:r>
          </w:p>
        </w:tc>
      </w:tr>
      <w:tr w:rsidR="009F462E" w:rsidRPr="000F7EAE" w:rsidTr="000F7EAE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462E" w:rsidRPr="000F7EAE" w:rsidRDefault="009F462E" w:rsidP="00B9461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OBVEZNA </w:t>
            </w:r>
            <w:r w:rsidRPr="000F7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DOKUMENTACIJA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OVISNO O VRSTI ULAGANJA</w:t>
            </w:r>
            <w:r w:rsidR="00675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162A1B" w:rsidRPr="000F7EAE" w:rsidTr="00693AF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2A1B" w:rsidRDefault="007F313C" w:rsidP="00B9461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ED3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2A1B" w:rsidRDefault="00162A1B" w:rsidP="00B9461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Energetsko odobrenje </w:t>
            </w:r>
            <w:r w:rsidR="006E47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za izgradnju postrojenja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izdano</w:t>
            </w:r>
            <w:r w:rsidR="00ED20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potpisano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i ovjereno od strane </w:t>
            </w:r>
            <w:r w:rsidR="00F646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Ministarstva gospodarstva</w:t>
            </w:r>
            <w:r w:rsidR="00156B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EF292F" w:rsidRDefault="00EF292F" w:rsidP="00410CB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104024" w:rsidRPr="00DA79B8" w:rsidRDefault="00F64668" w:rsidP="00410CB4">
            <w:pPr>
              <w:spacing w:after="0"/>
              <w:jc w:val="both"/>
              <w:rPr>
                <w:i/>
                <w:color w:val="000000"/>
                <w:sz w:val="20"/>
                <w:szCs w:val="20"/>
              </w:rPr>
            </w:pPr>
            <w:r w:rsidRPr="00BD777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Pojašnjenje:</w:t>
            </w:r>
            <w:r w:rsidR="006E470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6E470C" w:rsidRPr="00DA79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Sukladno Pravilniku o korištenju obnovljivih izvora energije </w:t>
            </w:r>
            <w:r w:rsidR="006E47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i </w:t>
            </w:r>
            <w:r w:rsidR="006E470C" w:rsidRPr="00DA79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kogeneracije</w:t>
            </w:r>
            <w:r w:rsidR="007E283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7E2838" w:rsidRPr="00F960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(NN</w:t>
            </w:r>
            <w:r w:rsidR="00BE7BA8" w:rsidRPr="00F960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88/12).</w:t>
            </w:r>
            <w:r w:rsidR="00BE7B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6E470C" w:rsidRPr="00DA79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Energetsko odobrenje potrebno je dostaviti za sve tipove postrojenja, osim za postrojenja koja se prema propis</w:t>
            </w:r>
            <w:r w:rsidR="006E47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ima koji uređuju gradnju smatraju jednost</w:t>
            </w:r>
            <w:r w:rsidR="004E5B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av</w:t>
            </w:r>
            <w:r w:rsidR="006E47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nim građevinama, te ostala postrojenja za koje je Pravilnikom o </w:t>
            </w:r>
            <w:r w:rsidR="006E470C" w:rsidRPr="00BD77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korišten</w:t>
            </w:r>
            <w:r w:rsidR="00156B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ju obnovljivih izvora energije </w:t>
            </w:r>
            <w:r w:rsidR="00122F6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i </w:t>
            </w:r>
            <w:r w:rsidR="006E470C" w:rsidRPr="00BD77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kogeneracije</w:t>
            </w:r>
            <w:r w:rsidR="006E47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definirano da isto nije potrebno ishoditi. </w:t>
            </w:r>
            <w:r w:rsidR="009456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CF4E80" w:rsidRPr="000F7EAE" w:rsidTr="008F39F5">
        <w:trPr>
          <w:trHeight w:val="21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4E80" w:rsidRDefault="007F313C" w:rsidP="00B9461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  <w:r w:rsidR="00ED3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4E80" w:rsidRPr="00F520BE" w:rsidRDefault="00F532D1" w:rsidP="00B9461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20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Tehnički opis proizvodnog postrojenja, potpisan i ovjeren od strane odgovorne osobe</w:t>
            </w:r>
            <w:r w:rsidR="00156B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E436E5" w:rsidRDefault="00F532D1" w:rsidP="00B9461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520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Pojašnjenje:</w:t>
            </w:r>
            <w:r w:rsidRPr="00F520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Navedeni dokument korisnik je obvezan izraditi sukladno Pravilniku o stjecanju statusa povlaštenog proizvođača električne energije</w:t>
            </w:r>
            <w:r w:rsidR="00BA53E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BE7BA8" w:rsidRPr="000C39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(NN </w:t>
            </w:r>
            <w:hyperlink r:id="rId18" w:tgtFrame="_blank" w:history="1">
              <w:r w:rsidR="00BE7BA8" w:rsidRPr="000C39F1">
                <w:rPr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</w:rPr>
                <w:t>132/13</w:t>
              </w:r>
            </w:hyperlink>
            <w:r w:rsidR="00BE7BA8" w:rsidRPr="000C39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; NN </w:t>
            </w:r>
            <w:hyperlink r:id="rId19" w:tgtFrame="_blank" w:history="1">
              <w:r w:rsidR="00BE7BA8" w:rsidRPr="000C39F1">
                <w:rPr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</w:rPr>
                <w:t>81/14</w:t>
              </w:r>
            </w:hyperlink>
            <w:r w:rsidR="00BE7BA8" w:rsidRPr="000C39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; NN </w:t>
            </w:r>
            <w:hyperlink r:id="rId20" w:tgtFrame="_blank" w:history="1">
              <w:r w:rsidR="00BE7BA8" w:rsidRPr="000C39F1">
                <w:rPr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</w:rPr>
                <w:t>93/14</w:t>
              </w:r>
            </w:hyperlink>
            <w:r w:rsidR="00BE7BA8" w:rsidRPr="000C39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; NN </w:t>
            </w:r>
            <w:hyperlink r:id="rId21" w:tgtFrame="_blank" w:history="1">
              <w:r w:rsidR="00BE7BA8" w:rsidRPr="000C39F1">
                <w:rPr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</w:rPr>
                <w:t>24/15</w:t>
              </w:r>
            </w:hyperlink>
            <w:r w:rsidR="00BE7BA8" w:rsidRPr="000C39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; NN </w:t>
            </w:r>
            <w:hyperlink r:id="rId22" w:tgtFrame="_blank" w:history="1">
              <w:r w:rsidR="00BE7BA8" w:rsidRPr="000C39F1">
                <w:rPr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</w:rPr>
                <w:t>99/15</w:t>
              </w:r>
            </w:hyperlink>
            <w:r w:rsidR="00BE7BA8" w:rsidRPr="000C39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; NN </w:t>
            </w:r>
            <w:hyperlink r:id="rId23" w:tgtFrame="_blank" w:history="1">
              <w:r w:rsidR="00BE7BA8" w:rsidRPr="000C39F1">
                <w:rPr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</w:rPr>
                <w:t>110/15</w:t>
              </w:r>
            </w:hyperlink>
            <w:r w:rsidR="00BE7BA8" w:rsidRPr="000C39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BE7B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F520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te sukladno Smjernicama za izradu Tehničkog </w:t>
            </w:r>
            <w:r w:rsidR="00E256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opisa </w:t>
            </w:r>
            <w:r w:rsidR="00822F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proizvodnog postrojenja </w:t>
            </w:r>
            <w:r w:rsidRPr="00F520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Hrvatske energetske regulatorne agencije. </w:t>
            </w:r>
          </w:p>
          <w:p w:rsidR="00F532D1" w:rsidRPr="00DA79B8" w:rsidRDefault="00122F6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7717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Dokument je obvezno dostaviti neovisno o vrsti/tipu postrojenja koje koristi obnovljive izvore energije i kogeneracijska postrojenja, te bez obzira na to priključuje li se ili ne priključuje na prijenosnu ili distribucijsku mrežu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</w:tr>
      <w:tr w:rsidR="00CF4E80" w:rsidRPr="000F7EAE" w:rsidTr="00C00B85">
        <w:trPr>
          <w:trHeight w:val="219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4E80" w:rsidRDefault="007F313C" w:rsidP="00B9461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ED3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246D8" w:rsidRDefault="0070565E" w:rsidP="00B9461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9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Prethodna elektroenergetska suglasnost </w:t>
            </w:r>
            <w:r w:rsidR="007D64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čiji je prilog Jednopolna shema</w:t>
            </w:r>
            <w:r w:rsidR="00EE69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997468" w:rsidRPr="00F520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246D8" w:rsidRPr="00F520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izdan</w:t>
            </w:r>
            <w:r w:rsidR="00F246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a, potpisna</w:t>
            </w:r>
            <w:r w:rsidR="00F246D8" w:rsidRPr="00DA79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246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 ovjerena</w:t>
            </w:r>
            <w:r w:rsidR="00F246D8" w:rsidRPr="00DA79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od strane HEP Operator distribucijskog sustava d.o.o.</w:t>
            </w:r>
            <w:r w:rsidR="00F246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i</w:t>
            </w:r>
          </w:p>
          <w:p w:rsidR="00CF4E80" w:rsidRDefault="007247EF" w:rsidP="00B9461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Predu</w:t>
            </w:r>
            <w:r w:rsidR="0082598D" w:rsidRPr="00F520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govor o priključenju mreže, </w:t>
            </w:r>
            <w:r w:rsidR="00F41055" w:rsidRPr="00F520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izdan</w:t>
            </w:r>
            <w:r w:rsidR="00F246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potpisan</w:t>
            </w:r>
            <w:r w:rsidR="0070565E" w:rsidRPr="00DA79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246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 ovjeren</w:t>
            </w:r>
            <w:r w:rsidR="0070565E" w:rsidRPr="00DA79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od strane HEP Operator distribucijskog sustava d.o.o.</w:t>
            </w:r>
            <w:r w:rsidR="00F246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85F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</w:t>
            </w:r>
            <w:r w:rsidR="00F246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potpisan i ovjeren od strane korisnika</w:t>
            </w:r>
          </w:p>
          <w:p w:rsidR="00997468" w:rsidRPr="00DA79B8" w:rsidRDefault="00EB21BC" w:rsidP="005B452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A79B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Pojašnjenje:</w:t>
            </w:r>
            <w:r w:rsidR="002266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A60835" w:rsidRPr="00BA5A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Dokument</w:t>
            </w:r>
            <w:r w:rsidR="00F10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</w:t>
            </w:r>
            <w:r w:rsidR="00A60835" w:rsidRPr="00BA5A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je obvezno dostaviti neovisno o vrsti/tipu postrojenja koje koristi obnovljive izvore energije i kogeneracijska postrojenja, </w:t>
            </w:r>
            <w:r w:rsidR="007524CA" w:rsidRPr="00BA5A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osim u slučaju postrojenja koja nemaju mogućnost priključenja</w:t>
            </w:r>
            <w:r w:rsidR="00A60835" w:rsidRPr="00BA5A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na prijenosnu ili distribucijsku mrežu.</w:t>
            </w:r>
          </w:p>
        </w:tc>
      </w:tr>
      <w:tr w:rsidR="00CF4E80" w:rsidRPr="000F7EAE" w:rsidTr="00693AF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4E80" w:rsidRDefault="007F313C" w:rsidP="00B9461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ED3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4E80" w:rsidRPr="00C81167" w:rsidRDefault="00D27F0E" w:rsidP="00B9461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Godišnji plan proizvodnje, izdan</w:t>
            </w:r>
            <w:r w:rsidR="000405EA" w:rsidRPr="00C81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potpisan</w:t>
            </w:r>
            <w:r w:rsidRPr="00C81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i ovjeren od </w:t>
            </w:r>
            <w:r w:rsidR="00556A71" w:rsidRPr="00C81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strane </w:t>
            </w:r>
            <w:r w:rsidR="004F2033" w:rsidRPr="00C81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odgovorne osobe.</w:t>
            </w:r>
          </w:p>
          <w:p w:rsidR="00F61E10" w:rsidRDefault="00595C25" w:rsidP="00B9461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777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Pojašnjenje: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BD77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Navedeni dokument korisnik je obvezan izraditi sukladno Pravilniku o stjecanju statusa povlaštenog proizvođača električne </w:t>
            </w:r>
            <w:r w:rsidRPr="00E061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energije</w:t>
            </w:r>
            <w:r w:rsidR="005B120E" w:rsidRPr="00E061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BE7BA8" w:rsidRPr="00E061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(NN </w:t>
            </w:r>
            <w:hyperlink r:id="rId24" w:tgtFrame="_blank" w:history="1">
              <w:r w:rsidR="00BE7BA8" w:rsidRPr="00E0610D">
                <w:rPr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</w:rPr>
                <w:t>132/13</w:t>
              </w:r>
            </w:hyperlink>
            <w:r w:rsidR="00BE7BA8" w:rsidRPr="00E061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; NN </w:t>
            </w:r>
            <w:hyperlink r:id="rId25" w:tgtFrame="_blank" w:history="1">
              <w:r w:rsidR="00BE7BA8" w:rsidRPr="00E0610D">
                <w:rPr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</w:rPr>
                <w:t>81/14</w:t>
              </w:r>
            </w:hyperlink>
            <w:r w:rsidR="00BE7BA8" w:rsidRPr="00E061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; NN </w:t>
            </w:r>
            <w:hyperlink r:id="rId26" w:tgtFrame="_blank" w:history="1">
              <w:r w:rsidR="00BE7BA8" w:rsidRPr="00E0610D">
                <w:rPr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</w:rPr>
                <w:t>93/14</w:t>
              </w:r>
            </w:hyperlink>
            <w:r w:rsidR="00BE7BA8" w:rsidRPr="00E061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; NN </w:t>
            </w:r>
            <w:hyperlink r:id="rId27" w:tgtFrame="_blank" w:history="1">
              <w:r w:rsidR="00BE7BA8" w:rsidRPr="00E0610D">
                <w:rPr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</w:rPr>
                <w:t>24/15</w:t>
              </w:r>
            </w:hyperlink>
            <w:r w:rsidR="00BE7BA8" w:rsidRPr="00E061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; NN </w:t>
            </w:r>
            <w:hyperlink r:id="rId28" w:tgtFrame="_blank" w:history="1">
              <w:r w:rsidR="00BE7BA8" w:rsidRPr="00E0610D">
                <w:rPr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</w:rPr>
                <w:t>99/15</w:t>
              </w:r>
            </w:hyperlink>
            <w:r w:rsidR="00BE7BA8" w:rsidRPr="00E061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; NN </w:t>
            </w:r>
            <w:hyperlink r:id="rId29" w:tgtFrame="_blank" w:history="1">
              <w:r w:rsidR="00BE7BA8" w:rsidRPr="00E0610D">
                <w:rPr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</w:rPr>
                <w:t>110/15</w:t>
              </w:r>
            </w:hyperlink>
            <w:r w:rsidR="00BE7BA8" w:rsidRPr="00E061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).</w:t>
            </w:r>
          </w:p>
          <w:p w:rsidR="000405EA" w:rsidRPr="002E1E83" w:rsidRDefault="009B324B" w:rsidP="00B9461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116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Dokument je obvezno dostaviti neovisno o vrsti/tipu postrojenja koje koristi obnovljive izvore energije i kogeneracijska postrojenja, te bez obzira na to priključuje li se ili ne priključuje na prijenosnu ili distribucijsku mrežu.</w:t>
            </w:r>
          </w:p>
        </w:tc>
      </w:tr>
      <w:tr w:rsidR="00CF4E80" w:rsidRPr="000F7EAE" w:rsidTr="00693AF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4E80" w:rsidRDefault="007F313C" w:rsidP="00B9461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ED3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F21B7" w:rsidRPr="00CA6676" w:rsidRDefault="00CA6676" w:rsidP="008706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66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Potvrda o godišnjoj potrošnji </w:t>
            </w:r>
            <w:r w:rsidR="00870638" w:rsidRPr="00CA66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električne energije korisnika</w:t>
            </w:r>
            <w:r w:rsidRPr="00CA66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za razdoblje od zadnjih pet godina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 </w:t>
            </w:r>
            <w:r w:rsidRPr="00CA66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dacima po</w:t>
            </w:r>
            <w:r w:rsidRPr="00CA66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svakoj godini) </w:t>
            </w:r>
            <w:r w:rsidR="00870638" w:rsidRPr="00CA66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izdan</w:t>
            </w:r>
            <w:r w:rsidRPr="00CA66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a, potpisana i ovjerena</w:t>
            </w:r>
            <w:r w:rsidR="00870638" w:rsidRPr="00CA66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od HEP Operator distribucijskog sustava d.o.o., odnosno odabranog opskrbljivača električnom energijom</w:t>
            </w:r>
            <w:r w:rsidR="004B1233" w:rsidRPr="00CA66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4B3DFB" w:rsidRPr="004B3DFB" w:rsidRDefault="00CE3C3D" w:rsidP="005622BA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777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Pojašnjenje: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610C7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Nije primjenjivo za postrojenja koja </w:t>
            </w:r>
            <w:r w:rsidR="00610C7E" w:rsidRPr="00BA5A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nemaju mogućnost priključenja na prijenosnu ili distribucijsku mrežu.</w:t>
            </w:r>
          </w:p>
        </w:tc>
      </w:tr>
      <w:tr w:rsidR="00AA2CC6" w:rsidRPr="000F7EAE" w:rsidTr="00693AF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2CC6" w:rsidRDefault="007F313C" w:rsidP="00B9461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ED3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B3DFB" w:rsidRPr="00CA6676" w:rsidRDefault="004B3DFB" w:rsidP="004B3DF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66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Potvrda o godišnjoj potrošnji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toplinske </w:t>
            </w:r>
            <w:r w:rsidRPr="00CA66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energije korisnika za razdoblje od zadnjih pet godina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 </w:t>
            </w:r>
            <w:r w:rsidRPr="00CA66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dacima po</w:t>
            </w:r>
            <w:r w:rsidRPr="00CA66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svakoj godini) izdana, potpisana i ovjerena od HEP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toplinarstvo </w:t>
            </w:r>
            <w:r w:rsidRPr="00CA66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d.o.o., odnosno odabranog opskrbljivača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toplinskom </w:t>
            </w:r>
            <w:r w:rsidRPr="00CA66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energijom.</w:t>
            </w:r>
          </w:p>
          <w:p w:rsidR="00A8074D" w:rsidRPr="00ED360F" w:rsidRDefault="00CE3C3D" w:rsidP="003D1DF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777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Pojašnjenje: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AC4B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Nije primjenjivo za postrojenja koja </w:t>
            </w:r>
            <w:r w:rsidR="00AC4B94" w:rsidRPr="00BA5A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nemaju mogućnost priključenja na prijenosnu ili distribucijsku mrežu.</w:t>
            </w:r>
          </w:p>
        </w:tc>
      </w:tr>
      <w:tr w:rsidR="009F462E" w:rsidRPr="000F7EAE" w:rsidTr="00693AF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462E" w:rsidRPr="000F7EAE" w:rsidRDefault="007F313C" w:rsidP="00B9461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9F4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462E" w:rsidRPr="00ED360F" w:rsidRDefault="009F462E" w:rsidP="00B9461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36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Preslika osobne iskaznice nositelja/odgovorne osobe iz Upisnika poljoprivrednih gospodarstava</w:t>
            </w:r>
            <w:r w:rsidR="00ED36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9F462E" w:rsidRPr="00B94618" w:rsidRDefault="006A6A63" w:rsidP="00B9461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D360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Pojašnjenje:</w:t>
            </w:r>
            <w:r w:rsidR="009F462E" w:rsidRPr="00B946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U slučaju ulaganja koje provodi mladi poljoprivrednik. </w:t>
            </w:r>
          </w:p>
        </w:tc>
      </w:tr>
      <w:tr w:rsidR="00781903" w:rsidRPr="000F7EAE" w:rsidTr="0078190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1903" w:rsidRPr="000F7EAE" w:rsidRDefault="00991E3D" w:rsidP="00424F6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B42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1903" w:rsidRPr="00163645" w:rsidRDefault="00781903" w:rsidP="0006406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36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Ugovor o najmu sklopljen na rok od najmanje 10 godina računajući od trenutka podnošenja </w:t>
            </w:r>
            <w:r w:rsidR="003135BF" w:rsidRPr="001636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Potvrde o podnošenju </w:t>
            </w:r>
            <w:r w:rsidRPr="001636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Zahtjeva za potporu.</w:t>
            </w:r>
          </w:p>
          <w:p w:rsidR="00781903" w:rsidRPr="001957A7" w:rsidRDefault="00781903" w:rsidP="00E0721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028E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Pojašnjenje:</w:t>
            </w:r>
            <w:r w:rsidR="001957A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7819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U slučaju opremanja postojećeg objekta koji nije u vlasništvu korisnika. Navedeni Ugovor mora biti upisan u zemljišne knjige. Lokacija ulaganja navedena u Ugovoru mora biti u skladu s lokacijom ulaganja navedenom u Zahtjevu za potporu. Vlasnik objekta u zemljišnim knjigama mora biti vlasnik koji je naveden u Ugovoru o najmu. Ugovor o najmu mora biti sklopljen između korisnika i vlasnika objekta koji je kao vlasnik upisan u zemljišne knjige</w:t>
            </w:r>
            <w:r w:rsidR="00E072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</w:tr>
      <w:tr w:rsidR="00781903" w:rsidRPr="000F7EAE" w:rsidTr="00023CB7">
        <w:trPr>
          <w:trHeight w:val="3691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1903" w:rsidRPr="000F7EAE" w:rsidRDefault="00805B42" w:rsidP="00F80CE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  <w:r w:rsidR="00781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94C96" w:rsidRPr="00C27384" w:rsidRDefault="00781903" w:rsidP="00694C9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73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Glavni projekt i/ili Tipski projekt za koji je Ministarstvo graditeljstva i prostornog uređenja donijelo Rješenje o tipskom projektu</w:t>
            </w:r>
            <w:r w:rsidR="00694C96" w:rsidRPr="00C273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ovjereni i potpisani od strane ovlaštenog projektanata </w:t>
            </w:r>
            <w:r w:rsidR="003146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</w:t>
            </w:r>
            <w:r w:rsidR="00694C96" w:rsidRPr="00C273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  <w:p w:rsidR="00023CB7" w:rsidRDefault="00023CB7" w:rsidP="005035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94C96" w:rsidRPr="00C27384" w:rsidRDefault="00781903" w:rsidP="005035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73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Tehnološki projekt ili </w:t>
            </w:r>
            <w:r w:rsidR="00694C96" w:rsidRPr="00C273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drugi dokument koji sadrži opis proizvodnog </w:t>
            </w:r>
            <w:r w:rsidR="00694C96" w:rsidRPr="003146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procesa</w:t>
            </w:r>
            <w:r w:rsidR="00D9733D" w:rsidRPr="003146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 xml:space="preserve"> izrađen</w:t>
            </w:r>
            <w:r w:rsidR="0031467C" w:rsidRPr="003146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, potpisan</w:t>
            </w:r>
            <w:r w:rsidR="00D9733D" w:rsidRPr="003146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 xml:space="preserve"> i ovjeren od strane ovlaštene osobe odgovarajuće struke</w:t>
            </w:r>
            <w:r w:rsidRPr="003146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B91934" w:rsidRDefault="00B91934" w:rsidP="0050353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1903" w:rsidRPr="00056916" w:rsidRDefault="00781903" w:rsidP="005035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69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Ukoliko Glavni/Tipski projekt ne sadržava troškovnik, prilož</w:t>
            </w:r>
            <w:r w:rsidR="00694C96" w:rsidRPr="000569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iti</w:t>
            </w:r>
            <w:r w:rsidRPr="000569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i Troškovnik projektiranih radova izrađen</w:t>
            </w:r>
            <w:r w:rsidR="00CB45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po</w:t>
            </w:r>
            <w:r w:rsidR="001319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tpisan</w:t>
            </w:r>
            <w:r w:rsidRPr="000569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i ovjeren od strane ovlaštene osobe odgovarajuće struke</w:t>
            </w:r>
            <w:r w:rsidR="000569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023CB7" w:rsidRDefault="00023CB7" w:rsidP="00023CB7">
            <w:pPr>
              <w:pStyle w:val="Header"/>
              <w:spacing w:line="276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  <w:p w:rsidR="00B91934" w:rsidRPr="00023CB7" w:rsidRDefault="00781903" w:rsidP="00023CB7">
            <w:pPr>
              <w:pStyle w:val="Header"/>
              <w:spacing w:line="276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2028E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Pojašnjenje: </w:t>
            </w:r>
            <w:r w:rsidR="00023CB7" w:rsidRPr="00023CB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>Potrebno dostaviti</w:t>
            </w:r>
            <w:r w:rsidR="00023CB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="00AB4F5E" w:rsidRPr="00DA79B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>u</w:t>
            </w:r>
            <w:r w:rsidRPr="00DA79B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slučaju građenja i opremanja objekta</w:t>
            </w:r>
            <w:r w:rsidR="00023CB7" w:rsidRPr="00023CB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te u slučaju opremanja postojećeg objekta</w:t>
            </w:r>
          </w:p>
        </w:tc>
      </w:tr>
      <w:tr w:rsidR="00781903" w:rsidRPr="000F7EAE" w:rsidTr="0078190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1903" w:rsidRPr="000F7EAE" w:rsidRDefault="00244A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34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81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1903" w:rsidRPr="00DA79B8" w:rsidRDefault="007A4482" w:rsidP="0006406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79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Akt </w:t>
            </w:r>
            <w:r w:rsidR="00781903" w:rsidRPr="00DA79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kojim se odobrava građenje izdan od tijela nadležnog za graditeljstvo, prema Zakonu o gradnji</w:t>
            </w:r>
            <w:r w:rsidR="002B0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B049C" w:rsidRPr="00E061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(NN</w:t>
            </w:r>
            <w:r w:rsidR="00021FF1" w:rsidRPr="00E061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B049C" w:rsidRPr="00E061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153/13</w:t>
            </w:r>
            <w:r w:rsidR="00021FF1" w:rsidRPr="00E061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  <w:r w:rsidR="00781903" w:rsidRPr="00E061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Zakonu o postupanju s nezakonito izgrađenim zgradama</w:t>
            </w:r>
            <w:r w:rsidR="00021FF1" w:rsidRPr="00E061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(NN 86/12; NN 143/13)</w:t>
            </w:r>
            <w:r w:rsidR="00781903" w:rsidRPr="00DA79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s oznakom pravomoćnosti za one dokumente za koje je oznaka pravomoćnosti primjenjiva</w:t>
            </w:r>
            <w:r w:rsidR="00595F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i Pravilniku o jednostavnim</w:t>
            </w:r>
            <w:r w:rsidR="00A87F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i drugim</w:t>
            </w:r>
            <w:r w:rsidR="00595F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građevinama i radovima</w:t>
            </w:r>
            <w:r w:rsidR="00021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21FF1" w:rsidRPr="00E061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(NN 79/14; NN 41/15; NN 75/15).</w:t>
            </w:r>
          </w:p>
          <w:p w:rsidR="006D1950" w:rsidRDefault="006D1950" w:rsidP="0006406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781903" w:rsidRPr="00781903" w:rsidRDefault="00781903" w:rsidP="0006406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250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Pojašnjenje:</w:t>
            </w:r>
            <w:r w:rsidRPr="007819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8E5B9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Lokacija ulaganja</w:t>
            </w:r>
            <w:r w:rsidRPr="007819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koja je navedena kao lokacij</w:t>
            </w:r>
            <w:r w:rsidR="005A48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</w:t>
            </w:r>
            <w:r w:rsidRPr="007819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ulaganja koju će korisnik upisati u Zahtjev za potporu mora odgovarati </w:t>
            </w:r>
            <w:r w:rsidR="008E5B9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lokaciji ulaganja </w:t>
            </w:r>
            <w:r w:rsidRPr="007819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iz </w:t>
            </w:r>
            <w:r w:rsidR="00A87F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akta kojim se odobrava građenje </w:t>
            </w:r>
            <w:r w:rsidRPr="007819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/ drugog odgovarajućeg dokumenta kojim se dokazuje legalnost građevine.</w:t>
            </w:r>
          </w:p>
          <w:p w:rsidR="00781903" w:rsidRPr="00781903" w:rsidRDefault="00781903" w:rsidP="0006406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19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U slučaju opremanja postojećih objekata prihvatljivi su i sljedeći dokumenti: Uporabna dozvola, Rješenje o izvedenom stan</w:t>
            </w:r>
            <w:r w:rsidR="006E67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ju ili Potvrda izvedenog stanja</w:t>
            </w:r>
            <w:r w:rsidR="00F82E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r w:rsidR="00694C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Potvrda o dostavljenom z</w:t>
            </w:r>
            <w:r w:rsidR="00F82E1D" w:rsidRPr="007819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avršno</w:t>
            </w:r>
            <w:r w:rsidR="00694C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</w:t>
            </w:r>
            <w:r w:rsidR="0026218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izvješću</w:t>
            </w:r>
            <w:r w:rsidR="00F82E1D" w:rsidRPr="007819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nadzornog inženjera</w:t>
            </w:r>
            <w:r w:rsidR="00F82E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251C31" w:rsidRDefault="00251C31" w:rsidP="00F82E1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</w:pPr>
          </w:p>
          <w:p w:rsidR="00231A2E" w:rsidRPr="00251C31" w:rsidRDefault="00251C31" w:rsidP="00F82E1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val="hr-HR"/>
              </w:rPr>
            </w:pPr>
            <w:r w:rsidRPr="00251C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val="hr-HR"/>
              </w:rPr>
              <w:t>Sustav sunčanih kolektora, odnosno fotonaponskih modula</w:t>
            </w:r>
          </w:p>
          <w:p w:rsidR="00357A55" w:rsidRPr="000A3D91" w:rsidRDefault="00357A55" w:rsidP="00357A5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Cs/>
                <w:i/>
                <w:sz w:val="20"/>
                <w:szCs w:val="20"/>
                <w:highlight w:val="yellow"/>
                <w:lang w:val="de-DE"/>
              </w:rPr>
            </w:pPr>
          </w:p>
          <w:p w:rsidR="00357A55" w:rsidRPr="009B3283" w:rsidRDefault="009A1893" w:rsidP="00357A5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</w:pPr>
            <w:r w:rsidRPr="009B32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  <w:t xml:space="preserve">U slučaju ulaganja u sustav sunčanih kolektora, odnosno fotonaponskih modula u svrhu proizvodnje toplinske, odnosno električne energije </w:t>
            </w:r>
            <w:r w:rsidR="00A64597" w:rsidRPr="009B32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hr-HR"/>
              </w:rPr>
              <w:t xml:space="preserve">(za koje </w:t>
            </w:r>
            <w:r w:rsidR="00A82E90" w:rsidRPr="009B32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hr-HR"/>
              </w:rPr>
              <w:t>sukladno važećem Pravilniku o jednostavnim i</w:t>
            </w:r>
            <w:r w:rsidR="00A64597" w:rsidRPr="009B32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hr-HR"/>
              </w:rPr>
              <w:t xml:space="preserve"> dr</w:t>
            </w:r>
            <w:r w:rsidR="000A3D91" w:rsidRPr="009B32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hr-HR"/>
              </w:rPr>
              <w:t>u</w:t>
            </w:r>
            <w:r w:rsidR="00A64597" w:rsidRPr="009B32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hr-HR"/>
              </w:rPr>
              <w:t>gim građevinama i radovima nije potrebno ishoditi akt kojim se odobrava građenje</w:t>
            </w:r>
            <w:r w:rsidR="007D00E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hr-HR"/>
              </w:rPr>
              <w:t xml:space="preserve"> </w:t>
            </w:r>
            <w:r w:rsidR="00AB487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hr-HR"/>
              </w:rPr>
              <w:t>(</w:t>
            </w:r>
            <w:r w:rsidR="007D00EC" w:rsidRPr="00AB487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hr-HR"/>
              </w:rPr>
              <w:t>NN</w:t>
            </w:r>
            <w:r w:rsidR="00AB487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hr-HR"/>
              </w:rPr>
              <w:t xml:space="preserve"> 79/14, 41/15, 75/15</w:t>
            </w:r>
            <w:r w:rsidR="00A64597" w:rsidRPr="009B32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hr-HR"/>
              </w:rPr>
              <w:t>)</w:t>
            </w:r>
            <w:r w:rsidR="00AB487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hr-HR"/>
              </w:rPr>
              <w:t>)</w:t>
            </w:r>
            <w:r w:rsidR="00A64597" w:rsidRPr="009B32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  <w:t>,</w:t>
            </w:r>
            <w:r w:rsidR="00A82E90" w:rsidRPr="009B32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  <w:t xml:space="preserve"> a koji se </w:t>
            </w:r>
            <w:r w:rsidR="00A64597" w:rsidRPr="009B32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  <w:t>grade</w:t>
            </w:r>
            <w:r w:rsidR="00CF0A78" w:rsidRPr="009B32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  <w:t xml:space="preserve"> i/ili opremaju</w:t>
            </w:r>
            <w:r w:rsidR="00A64597" w:rsidRPr="009B32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  <w:t xml:space="preserve"> </w:t>
            </w:r>
            <w:r w:rsidR="00A82E90" w:rsidRPr="009B32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  <w:t xml:space="preserve">na građevnoj čestici postojeće zgrade, odnosno na građevnoj čestici zgrade za koju postoji akt kojim se odobrava građenje, za potrebe te zgrade, potrebno je priložiti akt kojim se odobrava </w:t>
            </w:r>
            <w:r w:rsidR="00A82E90" w:rsidRPr="009B32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  <w:lastRenderedPageBreak/>
              <w:t>građenje za zgradu koja je postojeća ili koja se planira graditi, a na istoj čestici se planira građenje i/ili opremanje sustava sunčanih kolektor</w:t>
            </w:r>
            <w:r w:rsidR="00900DB9" w:rsidRPr="009B32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  <w:t>a, odnosno fotonaponskih modula.</w:t>
            </w:r>
          </w:p>
          <w:p w:rsidR="00A82E90" w:rsidRPr="009B3283" w:rsidRDefault="00A82E90" w:rsidP="00357A5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</w:pPr>
          </w:p>
          <w:p w:rsidR="00A82E90" w:rsidRPr="009B3283" w:rsidRDefault="00A82E90" w:rsidP="00357A5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</w:pPr>
            <w:r w:rsidRPr="009B32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  <w:t>U slučaju ulaganja u sustav sunčanih kolektora, odnosno fotonaponskih modula u svrhu proizvodnje toplinske, odnosno električne energije</w:t>
            </w:r>
            <w:r w:rsidR="00680D8F" w:rsidRPr="009B32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  <w:t xml:space="preserve"> </w:t>
            </w:r>
            <w:r w:rsidR="00680D8F" w:rsidRPr="009B32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hr-HR"/>
              </w:rPr>
              <w:t>(za koje sukladno važećem Pravilniku o jednostavnim i dr</w:t>
            </w:r>
            <w:r w:rsidR="006824A0" w:rsidRPr="009B32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hr-HR"/>
              </w:rPr>
              <w:t>u</w:t>
            </w:r>
            <w:r w:rsidR="00680D8F" w:rsidRPr="009B32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hr-HR"/>
              </w:rPr>
              <w:t xml:space="preserve">gim građevinama i radovima nije potrebno ishoditi akt kojim se odobrava </w:t>
            </w:r>
            <w:r w:rsidR="00680D8F" w:rsidRPr="00AB487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hr-HR"/>
              </w:rPr>
              <w:t>građenje</w:t>
            </w:r>
            <w:r w:rsidR="007D00EC" w:rsidRPr="00AB487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hr-HR"/>
              </w:rPr>
              <w:t xml:space="preserve"> </w:t>
            </w:r>
            <w:r w:rsidR="00AB487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hr-HR"/>
              </w:rPr>
              <w:t>(</w:t>
            </w:r>
            <w:r w:rsidR="00F241E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hr-HR"/>
              </w:rPr>
              <w:t>NN</w:t>
            </w:r>
            <w:r w:rsidR="00AB487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hr-HR"/>
              </w:rPr>
              <w:t xml:space="preserve"> 79/14, 41/15, 75/15)</w:t>
            </w:r>
            <w:r w:rsidR="00680D8F" w:rsidRPr="009B32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hr-HR"/>
              </w:rPr>
              <w:t>)</w:t>
            </w:r>
            <w:r w:rsidRPr="009B32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  <w:t xml:space="preserve"> a koji se postavljaju</w:t>
            </w:r>
            <w:r w:rsidR="000E4823" w:rsidRPr="009B32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  <w:t xml:space="preserve"> (grade i/ili opremaju)</w:t>
            </w:r>
            <w:r w:rsidRPr="009B32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  <w:t xml:space="preserve"> na</w:t>
            </w:r>
            <w:r w:rsidR="00680D8F" w:rsidRPr="009B32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  <w:t xml:space="preserve"> postojećoj zgradi/građevini ili se planira izgraditi zgrada/građevina na koju će se postaviti</w:t>
            </w:r>
            <w:r w:rsidR="000E4823" w:rsidRPr="009B32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  <w:t xml:space="preserve"> (graditi i/ili opremati)</w:t>
            </w:r>
            <w:r w:rsidR="00680D8F" w:rsidRPr="009B32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  <w:t xml:space="preserve"> sustav sunčanih kolektora, odnosno fotonaponskih modula, potrebno je priložiti akt kojim se odobrava građenje za zgradu koja je postojeća ili koja se planira graditi</w:t>
            </w:r>
            <w:r w:rsidR="00C22900" w:rsidRPr="009B32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  <w:t>.</w:t>
            </w:r>
          </w:p>
          <w:p w:rsidR="00535576" w:rsidRPr="009B3283" w:rsidRDefault="00535576" w:rsidP="00357A5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</w:pPr>
          </w:p>
          <w:p w:rsidR="00535576" w:rsidRPr="00A82E90" w:rsidRDefault="00535576" w:rsidP="00357A5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</w:pPr>
            <w:r w:rsidRPr="009B32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  <w:t xml:space="preserve">U slučaju ulaganja u sustav sunčanih kolektora, odnosno fotonaponskih modula u svrhu proizvodnje toplinske, odnosno električne energije, </w:t>
            </w:r>
            <w:r w:rsidRPr="009B32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hr-HR"/>
              </w:rPr>
              <w:t>za koje je potrebno ishoditi akt kojim se odobrava građenje,</w:t>
            </w:r>
            <w:r w:rsidRPr="009B32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  <w:t xml:space="preserve"> a isti se grade</w:t>
            </w:r>
            <w:r w:rsidR="000E4823" w:rsidRPr="009B32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  <w:t xml:space="preserve"> i/ili opremaju</w:t>
            </w:r>
            <w:r w:rsidRPr="009B32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  <w:t xml:space="preserve"> na građevnoj čestici postojeće zgrade, odnosno na građevnoj čestici zgrade za koju postoji akt kojim se odobrava građenje, za potrebe te zgrade </w:t>
            </w:r>
            <w:r w:rsidRPr="009B32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hr-HR"/>
              </w:rPr>
              <w:t>ili</w:t>
            </w:r>
            <w:r w:rsidRPr="009B32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  <w:t xml:space="preserve"> koji se postavljaju</w:t>
            </w:r>
            <w:r w:rsidR="00A532E3" w:rsidRPr="009B32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  <w:t xml:space="preserve"> (grade i/ili opremaju)</w:t>
            </w:r>
            <w:r w:rsidRPr="009B32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  <w:t xml:space="preserve"> na postojećoj zgradi/građevini ili se planira izgraditi zgrada/građevina na koju će se postaviti </w:t>
            </w:r>
            <w:r w:rsidR="00A532E3" w:rsidRPr="009B32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  <w:t xml:space="preserve">(graditi i/ili opremati) </w:t>
            </w:r>
            <w:r w:rsidRPr="009B32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  <w:t>sustav sunčanih kolektora, odnosno fotonaponskih modula, potrebno je dostaviti akt kojim se odobrava građenje za sustav sunčanih kolektora, odnosno fotonaponskih modula i akt kojim se odobrava građenje za zgradu/građevinu koja je postojeća ili koja se planira graditi.</w:t>
            </w:r>
          </w:p>
          <w:p w:rsidR="00357A55" w:rsidRPr="00781903" w:rsidRDefault="00357A55" w:rsidP="0053319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903" w:rsidRPr="000F7EAE" w:rsidTr="00064060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1903" w:rsidRPr="000F7EAE" w:rsidRDefault="00781903" w:rsidP="00F05B1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OBVEZNA </w:t>
            </w:r>
            <w:r w:rsidRPr="000F7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DOKUMENTACIJA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VEZANA UZ PROVJERU EKONOMSKE ODRŽIVOSTI PROJEKTA</w:t>
            </w:r>
            <w:r w:rsidRPr="000F7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781903" w:rsidRPr="000F7EAE" w:rsidTr="0006406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1903" w:rsidRPr="000F7EAE" w:rsidRDefault="00244A89" w:rsidP="00C96C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34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81903" w:rsidRPr="000F7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4F5E" w:rsidRPr="00234788" w:rsidRDefault="00B91934" w:rsidP="0006406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4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="00781903" w:rsidRPr="00234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rijav</w:t>
            </w:r>
            <w:r w:rsidRPr="00234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  <w:r w:rsidR="00781903" w:rsidRPr="00234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poreza na dohodak</w:t>
            </w:r>
            <w:r w:rsidRPr="00234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4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 xml:space="preserve">(obrazac DOH) </w:t>
            </w:r>
            <w:r w:rsidR="00781903" w:rsidRPr="00234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za prethodnu financijsku godinu ovjeren od strane Porezne uprave s pripadajućom Rekapitulacijom primitak</w:t>
            </w:r>
            <w:r w:rsidR="00FD4962" w:rsidRPr="00234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 i izdataka za razdoblje od 1. </w:t>
            </w:r>
            <w:r w:rsidR="00781903" w:rsidRPr="00234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siječnja do 31. prosinca prethodne financijske godine</w:t>
            </w:r>
            <w:r w:rsidRPr="00234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781903" w:rsidRPr="00234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ovjerenom i potpisanom od strane korisnika</w:t>
            </w:r>
            <w:r w:rsidRPr="00234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Ukoliko korisnik, sukladno nacionalnom zakonodavstvu, nije bio obvezan predati prijavu poreza na dohodak </w:t>
            </w:r>
            <w:r w:rsidR="00AB4F5E" w:rsidRPr="00234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priložiti </w:t>
            </w:r>
            <w:r w:rsidRPr="00234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odgovarajući dokument kojim isto dokazuje. </w:t>
            </w:r>
          </w:p>
          <w:p w:rsidR="00781903" w:rsidRPr="00B94618" w:rsidRDefault="00781903" w:rsidP="005616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347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Pojašnjenje:</w:t>
            </w:r>
            <w:r w:rsidRPr="00B946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Odnosi se samo na obveznike poreza na dohodak</w:t>
            </w:r>
            <w:r w:rsidR="005E458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</w:t>
            </w:r>
            <w:r w:rsidR="005E4584" w:rsidRPr="008F3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="005E4584" w:rsidRPr="0023478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u slučaju ulaganja gdje vrijednost ukupno prihvatljivih troškova iznosi više od 200.000 HRK</w:t>
            </w:r>
            <w:r w:rsidR="005616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="005E4584" w:rsidRPr="0023478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781903" w:rsidRPr="000F7EAE" w:rsidTr="0006406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1903" w:rsidRPr="000F7EAE" w:rsidRDefault="00244A89" w:rsidP="00B4234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34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81903" w:rsidRPr="000F7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4F5E" w:rsidRPr="001E3BC4" w:rsidRDefault="00781903" w:rsidP="00B9193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3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Godišnji financijski izvještaj (obrazac GFI) za prethodnu financijsku godinu </w:t>
            </w:r>
            <w:r w:rsidR="00B91934" w:rsidRPr="001E3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ovjeren od FINA-e (</w:t>
            </w:r>
            <w:r w:rsidR="00F46E2E" w:rsidRPr="001E3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prihvatljiva je i potvrda FINA-e o primitku dokumentacije s GFI poduzetnika za prethodnu financijsku godinu izdana u elektronskom obliku)</w:t>
            </w:r>
            <w:r w:rsidR="00B91934" w:rsidRPr="001E3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1E3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91934" w:rsidRPr="001E3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Ukoliko sukladno nacionalnom zakonodavstvu korisnik nije bio obvezan predati GFI, priložiti</w:t>
            </w:r>
            <w:r w:rsidR="00AB4F5E" w:rsidRPr="001E3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91934" w:rsidRPr="001E3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odgovarajući dokument kojim isto dokazuje.</w:t>
            </w:r>
          </w:p>
          <w:p w:rsidR="00781903" w:rsidRDefault="00781903" w:rsidP="00832D1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E3BC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Pojašnjenje:</w:t>
            </w:r>
            <w:r w:rsidRPr="00B946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Odnosi se </w:t>
            </w:r>
            <w:r w:rsidR="00F46E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na </w:t>
            </w:r>
            <w:r w:rsidRPr="00B946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obveznike poreza na dobit</w:t>
            </w:r>
            <w:r w:rsidR="00F46E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r w:rsidR="00F46E2E" w:rsidRPr="00854E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u slučaju ulaganja gdje vrijednost ukupno prihvatljivih troš</w:t>
            </w:r>
            <w:r w:rsidR="00832D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kova iznosi više od 200.000 HRK.</w:t>
            </w:r>
          </w:p>
          <w:p w:rsidR="007F313C" w:rsidRDefault="007F313C" w:rsidP="00832D1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7F313C" w:rsidRPr="000F7EAE" w:rsidRDefault="007F313C" w:rsidP="00832D1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81903" w:rsidRPr="000F7EAE" w:rsidTr="0006406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1903" w:rsidRPr="000F7EAE" w:rsidRDefault="00244A89" w:rsidP="00C96C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234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781903" w:rsidRPr="000F7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1903" w:rsidRPr="00263226" w:rsidRDefault="00781903" w:rsidP="001244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3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Popis dugotrajne imovine na dan 31. prosinca prethodne financijske godine potpisan i ovjeren od strane korisnika ili potpisana </w:t>
            </w:r>
            <w:r w:rsidR="00B91934" w:rsidRPr="00263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263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ovjerena Izjava korisnika da nema dugotrajnu imovinu.</w:t>
            </w:r>
          </w:p>
          <w:p w:rsidR="00F46E2E" w:rsidRPr="000F7EAE" w:rsidRDefault="00F46E2E" w:rsidP="00BB37C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63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Pojašnjenje:</w:t>
            </w:r>
            <w:r w:rsidRPr="00854E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u slučaju ulaganja gdje vrijednost ukupno prihvatljivih troškova iznosi više od 200.000 HRK te ukoliko je riječ o zajedničkom projektu. </w:t>
            </w:r>
          </w:p>
        </w:tc>
      </w:tr>
      <w:tr w:rsidR="00781903" w:rsidRPr="000F7EAE" w:rsidTr="0006406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1903" w:rsidRPr="000F7EAE" w:rsidRDefault="00244A89" w:rsidP="00C96C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34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781903" w:rsidRPr="000F7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1903" w:rsidRPr="00DE1F5A" w:rsidRDefault="00781903" w:rsidP="00B9193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F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Poslovni plan u cijelosti popunjen u skladu s pripadajućim uputama i pojašnjenjima.</w:t>
            </w:r>
          </w:p>
          <w:p w:rsidR="001A2096" w:rsidRPr="000F7EAE" w:rsidRDefault="001A2096" w:rsidP="00BB37C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Pojašnjenje:</w:t>
            </w:r>
            <w:r w:rsidRPr="00854E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u slučaju ulaganja gdje vrijednost ukupno prihvatljivih troš</w:t>
            </w:r>
            <w:r w:rsidR="00BB37C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kova iznosi više od 200.000 HRK.</w:t>
            </w:r>
          </w:p>
        </w:tc>
      </w:tr>
    </w:tbl>
    <w:p w:rsidR="00467B1B" w:rsidRDefault="00467B1B" w:rsidP="00467B1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67B1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52379"/>
    <w:multiLevelType w:val="hybridMultilevel"/>
    <w:tmpl w:val="0F522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A0A24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54389"/>
    <w:multiLevelType w:val="hybridMultilevel"/>
    <w:tmpl w:val="0C24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F288D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A1A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10C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43053"/>
    <w:multiLevelType w:val="hybridMultilevel"/>
    <w:tmpl w:val="14264086"/>
    <w:lvl w:ilvl="0" w:tplc="FC804B7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AE"/>
    <w:rsid w:val="000016EE"/>
    <w:rsid w:val="00016820"/>
    <w:rsid w:val="00021FF1"/>
    <w:rsid w:val="00023CB7"/>
    <w:rsid w:val="00024036"/>
    <w:rsid w:val="00025430"/>
    <w:rsid w:val="00035AE9"/>
    <w:rsid w:val="000405EA"/>
    <w:rsid w:val="000460E1"/>
    <w:rsid w:val="000504DC"/>
    <w:rsid w:val="00056916"/>
    <w:rsid w:val="00060F13"/>
    <w:rsid w:val="0006156B"/>
    <w:rsid w:val="00063462"/>
    <w:rsid w:val="00071CCF"/>
    <w:rsid w:val="000753B2"/>
    <w:rsid w:val="000835CA"/>
    <w:rsid w:val="000934D9"/>
    <w:rsid w:val="000A231C"/>
    <w:rsid w:val="000A24C8"/>
    <w:rsid w:val="000A3D91"/>
    <w:rsid w:val="000C1AB8"/>
    <w:rsid w:val="000C39F1"/>
    <w:rsid w:val="000D3D3F"/>
    <w:rsid w:val="000D3E9B"/>
    <w:rsid w:val="000D5369"/>
    <w:rsid w:val="000E4823"/>
    <w:rsid w:val="000E5B93"/>
    <w:rsid w:val="000F76D3"/>
    <w:rsid w:val="000F7EAE"/>
    <w:rsid w:val="001011F6"/>
    <w:rsid w:val="00101822"/>
    <w:rsid w:val="00104024"/>
    <w:rsid w:val="00117EFB"/>
    <w:rsid w:val="00122F6D"/>
    <w:rsid w:val="0012447A"/>
    <w:rsid w:val="0012650E"/>
    <w:rsid w:val="0013192C"/>
    <w:rsid w:val="00140730"/>
    <w:rsid w:val="00140895"/>
    <w:rsid w:val="00156B83"/>
    <w:rsid w:val="00162A1B"/>
    <w:rsid w:val="00163645"/>
    <w:rsid w:val="0017560C"/>
    <w:rsid w:val="00181AEE"/>
    <w:rsid w:val="001957A7"/>
    <w:rsid w:val="001979FA"/>
    <w:rsid w:val="001A2096"/>
    <w:rsid w:val="001A3008"/>
    <w:rsid w:val="001A37CA"/>
    <w:rsid w:val="001B1AA7"/>
    <w:rsid w:val="001B2798"/>
    <w:rsid w:val="001B39DF"/>
    <w:rsid w:val="001C05DA"/>
    <w:rsid w:val="001C1081"/>
    <w:rsid w:val="001D0204"/>
    <w:rsid w:val="001E1B18"/>
    <w:rsid w:val="001E3BC4"/>
    <w:rsid w:val="001F2B6B"/>
    <w:rsid w:val="001F5153"/>
    <w:rsid w:val="002028EB"/>
    <w:rsid w:val="00210D7A"/>
    <w:rsid w:val="00217DFF"/>
    <w:rsid w:val="00221EA3"/>
    <w:rsid w:val="00223F92"/>
    <w:rsid w:val="002262B3"/>
    <w:rsid w:val="002266FC"/>
    <w:rsid w:val="00231A2E"/>
    <w:rsid w:val="00232B2C"/>
    <w:rsid w:val="00234788"/>
    <w:rsid w:val="00235397"/>
    <w:rsid w:val="002421F2"/>
    <w:rsid w:val="00244A89"/>
    <w:rsid w:val="0024534C"/>
    <w:rsid w:val="00251C31"/>
    <w:rsid w:val="0025378B"/>
    <w:rsid w:val="00262109"/>
    <w:rsid w:val="0026218A"/>
    <w:rsid w:val="00263226"/>
    <w:rsid w:val="00263D5A"/>
    <w:rsid w:val="0026571A"/>
    <w:rsid w:val="0027431E"/>
    <w:rsid w:val="00277659"/>
    <w:rsid w:val="002842EA"/>
    <w:rsid w:val="00285F9B"/>
    <w:rsid w:val="00294D8C"/>
    <w:rsid w:val="002A7D68"/>
    <w:rsid w:val="002B049C"/>
    <w:rsid w:val="002C0D84"/>
    <w:rsid w:val="002C4C0F"/>
    <w:rsid w:val="002D0E75"/>
    <w:rsid w:val="002D3A6E"/>
    <w:rsid w:val="002D54A1"/>
    <w:rsid w:val="002E1E83"/>
    <w:rsid w:val="002E6F2D"/>
    <w:rsid w:val="002F4330"/>
    <w:rsid w:val="002F5FC7"/>
    <w:rsid w:val="0030140E"/>
    <w:rsid w:val="00305FB2"/>
    <w:rsid w:val="0031298D"/>
    <w:rsid w:val="003135BF"/>
    <w:rsid w:val="0031467C"/>
    <w:rsid w:val="00320D77"/>
    <w:rsid w:val="00333731"/>
    <w:rsid w:val="00340E3F"/>
    <w:rsid w:val="0034256C"/>
    <w:rsid w:val="00346218"/>
    <w:rsid w:val="003463BE"/>
    <w:rsid w:val="00354050"/>
    <w:rsid w:val="003574C2"/>
    <w:rsid w:val="00357A55"/>
    <w:rsid w:val="00360543"/>
    <w:rsid w:val="0036554F"/>
    <w:rsid w:val="00367C45"/>
    <w:rsid w:val="00380021"/>
    <w:rsid w:val="0038449F"/>
    <w:rsid w:val="003861CD"/>
    <w:rsid w:val="0038739C"/>
    <w:rsid w:val="003933A1"/>
    <w:rsid w:val="0039389B"/>
    <w:rsid w:val="00396BB4"/>
    <w:rsid w:val="003A5FF9"/>
    <w:rsid w:val="003B1C61"/>
    <w:rsid w:val="003D1DF2"/>
    <w:rsid w:val="003D3309"/>
    <w:rsid w:val="003E4373"/>
    <w:rsid w:val="00410CB4"/>
    <w:rsid w:val="00424F62"/>
    <w:rsid w:val="00426EA9"/>
    <w:rsid w:val="0043661A"/>
    <w:rsid w:val="00436FE1"/>
    <w:rsid w:val="00467B1B"/>
    <w:rsid w:val="0048549B"/>
    <w:rsid w:val="0048783A"/>
    <w:rsid w:val="00490EF7"/>
    <w:rsid w:val="004959E0"/>
    <w:rsid w:val="004A748B"/>
    <w:rsid w:val="004B1233"/>
    <w:rsid w:val="004B3DFB"/>
    <w:rsid w:val="004B6FD1"/>
    <w:rsid w:val="004C3B04"/>
    <w:rsid w:val="004E5B4D"/>
    <w:rsid w:val="004E5E4D"/>
    <w:rsid w:val="004F2033"/>
    <w:rsid w:val="005011BD"/>
    <w:rsid w:val="00502865"/>
    <w:rsid w:val="0050353E"/>
    <w:rsid w:val="00511353"/>
    <w:rsid w:val="00512751"/>
    <w:rsid w:val="00512BAA"/>
    <w:rsid w:val="00523F93"/>
    <w:rsid w:val="00532028"/>
    <w:rsid w:val="00533191"/>
    <w:rsid w:val="00535448"/>
    <w:rsid w:val="00535576"/>
    <w:rsid w:val="00554417"/>
    <w:rsid w:val="00556A71"/>
    <w:rsid w:val="00560383"/>
    <w:rsid w:val="00560BB3"/>
    <w:rsid w:val="005616D0"/>
    <w:rsid w:val="005622BA"/>
    <w:rsid w:val="00562B02"/>
    <w:rsid w:val="00565EA2"/>
    <w:rsid w:val="005735A2"/>
    <w:rsid w:val="00584465"/>
    <w:rsid w:val="0058544C"/>
    <w:rsid w:val="00594451"/>
    <w:rsid w:val="00595C25"/>
    <w:rsid w:val="00595F30"/>
    <w:rsid w:val="005A4832"/>
    <w:rsid w:val="005A5FA7"/>
    <w:rsid w:val="005A6991"/>
    <w:rsid w:val="005A6CF7"/>
    <w:rsid w:val="005B0208"/>
    <w:rsid w:val="005B120E"/>
    <w:rsid w:val="005B3DF7"/>
    <w:rsid w:val="005B4528"/>
    <w:rsid w:val="005C05D7"/>
    <w:rsid w:val="005C6851"/>
    <w:rsid w:val="005D7127"/>
    <w:rsid w:val="005E0A97"/>
    <w:rsid w:val="005E1A60"/>
    <w:rsid w:val="005E4584"/>
    <w:rsid w:val="005F5044"/>
    <w:rsid w:val="00604885"/>
    <w:rsid w:val="00610C7E"/>
    <w:rsid w:val="006119F9"/>
    <w:rsid w:val="00621968"/>
    <w:rsid w:val="00623BA7"/>
    <w:rsid w:val="0064108F"/>
    <w:rsid w:val="00642085"/>
    <w:rsid w:val="00643F62"/>
    <w:rsid w:val="006505F0"/>
    <w:rsid w:val="00654AE5"/>
    <w:rsid w:val="006552D8"/>
    <w:rsid w:val="006602B6"/>
    <w:rsid w:val="0066087B"/>
    <w:rsid w:val="00664C58"/>
    <w:rsid w:val="0067595D"/>
    <w:rsid w:val="00677CF2"/>
    <w:rsid w:val="00680D8F"/>
    <w:rsid w:val="006824A0"/>
    <w:rsid w:val="006853FF"/>
    <w:rsid w:val="00691A39"/>
    <w:rsid w:val="00692EFC"/>
    <w:rsid w:val="00694C96"/>
    <w:rsid w:val="006A0A42"/>
    <w:rsid w:val="006A19CA"/>
    <w:rsid w:val="006A46AC"/>
    <w:rsid w:val="006A6A63"/>
    <w:rsid w:val="006C2F0F"/>
    <w:rsid w:val="006C323C"/>
    <w:rsid w:val="006C6F5A"/>
    <w:rsid w:val="006C7226"/>
    <w:rsid w:val="006D1950"/>
    <w:rsid w:val="006D2A8E"/>
    <w:rsid w:val="006E470C"/>
    <w:rsid w:val="006E6758"/>
    <w:rsid w:val="00702233"/>
    <w:rsid w:val="0070565E"/>
    <w:rsid w:val="00720CB5"/>
    <w:rsid w:val="007218B7"/>
    <w:rsid w:val="0072331E"/>
    <w:rsid w:val="00723842"/>
    <w:rsid w:val="007247EF"/>
    <w:rsid w:val="0073656B"/>
    <w:rsid w:val="007524CA"/>
    <w:rsid w:val="00766B89"/>
    <w:rsid w:val="00771BB9"/>
    <w:rsid w:val="00776A8F"/>
    <w:rsid w:val="00781445"/>
    <w:rsid w:val="00781903"/>
    <w:rsid w:val="00784D92"/>
    <w:rsid w:val="00792026"/>
    <w:rsid w:val="007930CE"/>
    <w:rsid w:val="007A4482"/>
    <w:rsid w:val="007A5262"/>
    <w:rsid w:val="007A694F"/>
    <w:rsid w:val="007B1EAB"/>
    <w:rsid w:val="007C7806"/>
    <w:rsid w:val="007D00EC"/>
    <w:rsid w:val="007D0A09"/>
    <w:rsid w:val="007D6411"/>
    <w:rsid w:val="007E2838"/>
    <w:rsid w:val="007E49C1"/>
    <w:rsid w:val="007F313C"/>
    <w:rsid w:val="00805B42"/>
    <w:rsid w:val="00806860"/>
    <w:rsid w:val="008118F3"/>
    <w:rsid w:val="00811D3C"/>
    <w:rsid w:val="00811DCC"/>
    <w:rsid w:val="00822F1C"/>
    <w:rsid w:val="0082598D"/>
    <w:rsid w:val="00832D1D"/>
    <w:rsid w:val="00834284"/>
    <w:rsid w:val="00850CF9"/>
    <w:rsid w:val="00850E51"/>
    <w:rsid w:val="00851855"/>
    <w:rsid w:val="00870638"/>
    <w:rsid w:val="00871665"/>
    <w:rsid w:val="00882996"/>
    <w:rsid w:val="00890D16"/>
    <w:rsid w:val="008929B3"/>
    <w:rsid w:val="008A076F"/>
    <w:rsid w:val="008A5B88"/>
    <w:rsid w:val="008B46E2"/>
    <w:rsid w:val="008C62D6"/>
    <w:rsid w:val="008C6E2A"/>
    <w:rsid w:val="008C7B35"/>
    <w:rsid w:val="008D35E1"/>
    <w:rsid w:val="008D5904"/>
    <w:rsid w:val="008E0BC8"/>
    <w:rsid w:val="008E0F4B"/>
    <w:rsid w:val="008E5B9E"/>
    <w:rsid w:val="008F39F5"/>
    <w:rsid w:val="00900DB9"/>
    <w:rsid w:val="00917EA8"/>
    <w:rsid w:val="009233A2"/>
    <w:rsid w:val="009323C1"/>
    <w:rsid w:val="00940DC3"/>
    <w:rsid w:val="009456FD"/>
    <w:rsid w:val="0094693A"/>
    <w:rsid w:val="0094695B"/>
    <w:rsid w:val="009620A0"/>
    <w:rsid w:val="009754FD"/>
    <w:rsid w:val="00983346"/>
    <w:rsid w:val="00991E3D"/>
    <w:rsid w:val="00994097"/>
    <w:rsid w:val="0099629C"/>
    <w:rsid w:val="00997468"/>
    <w:rsid w:val="009A1893"/>
    <w:rsid w:val="009B324B"/>
    <w:rsid w:val="009B3283"/>
    <w:rsid w:val="009B72A6"/>
    <w:rsid w:val="009C1960"/>
    <w:rsid w:val="009D548A"/>
    <w:rsid w:val="009F03F2"/>
    <w:rsid w:val="009F0C0C"/>
    <w:rsid w:val="009F462E"/>
    <w:rsid w:val="009F7ED9"/>
    <w:rsid w:val="00A06479"/>
    <w:rsid w:val="00A142CF"/>
    <w:rsid w:val="00A277D6"/>
    <w:rsid w:val="00A37670"/>
    <w:rsid w:val="00A47A7A"/>
    <w:rsid w:val="00A532E3"/>
    <w:rsid w:val="00A55A09"/>
    <w:rsid w:val="00A60835"/>
    <w:rsid w:val="00A64597"/>
    <w:rsid w:val="00A8074D"/>
    <w:rsid w:val="00A82E90"/>
    <w:rsid w:val="00A87FA1"/>
    <w:rsid w:val="00A97EE8"/>
    <w:rsid w:val="00AA05B1"/>
    <w:rsid w:val="00AA224B"/>
    <w:rsid w:val="00AA2CC6"/>
    <w:rsid w:val="00AA3076"/>
    <w:rsid w:val="00AB4872"/>
    <w:rsid w:val="00AB4ECB"/>
    <w:rsid w:val="00AB4F5E"/>
    <w:rsid w:val="00AC00AF"/>
    <w:rsid w:val="00AC4B94"/>
    <w:rsid w:val="00AD0318"/>
    <w:rsid w:val="00AD6E39"/>
    <w:rsid w:val="00AE0B7D"/>
    <w:rsid w:val="00AE787F"/>
    <w:rsid w:val="00AF3997"/>
    <w:rsid w:val="00AF580E"/>
    <w:rsid w:val="00B00C29"/>
    <w:rsid w:val="00B03690"/>
    <w:rsid w:val="00B07C0D"/>
    <w:rsid w:val="00B129C7"/>
    <w:rsid w:val="00B226B3"/>
    <w:rsid w:val="00B42340"/>
    <w:rsid w:val="00B546D1"/>
    <w:rsid w:val="00B6153D"/>
    <w:rsid w:val="00B61D5C"/>
    <w:rsid w:val="00B62266"/>
    <w:rsid w:val="00B63381"/>
    <w:rsid w:val="00B6732E"/>
    <w:rsid w:val="00B71259"/>
    <w:rsid w:val="00B7717C"/>
    <w:rsid w:val="00B816D9"/>
    <w:rsid w:val="00B86208"/>
    <w:rsid w:val="00B91934"/>
    <w:rsid w:val="00B933B5"/>
    <w:rsid w:val="00B94618"/>
    <w:rsid w:val="00BA53EC"/>
    <w:rsid w:val="00BA5A5E"/>
    <w:rsid w:val="00BA7E18"/>
    <w:rsid w:val="00BB37CC"/>
    <w:rsid w:val="00BB4A43"/>
    <w:rsid w:val="00BD0207"/>
    <w:rsid w:val="00BE3D8F"/>
    <w:rsid w:val="00BE7BA8"/>
    <w:rsid w:val="00BF21B7"/>
    <w:rsid w:val="00C00B85"/>
    <w:rsid w:val="00C1226A"/>
    <w:rsid w:val="00C155EB"/>
    <w:rsid w:val="00C22900"/>
    <w:rsid w:val="00C25C6A"/>
    <w:rsid w:val="00C27384"/>
    <w:rsid w:val="00C31AE5"/>
    <w:rsid w:val="00C36D33"/>
    <w:rsid w:val="00C3763D"/>
    <w:rsid w:val="00C44351"/>
    <w:rsid w:val="00C513EA"/>
    <w:rsid w:val="00C52C9D"/>
    <w:rsid w:val="00C53E5B"/>
    <w:rsid w:val="00C56170"/>
    <w:rsid w:val="00C65926"/>
    <w:rsid w:val="00C72F45"/>
    <w:rsid w:val="00C73C52"/>
    <w:rsid w:val="00C81167"/>
    <w:rsid w:val="00C82709"/>
    <w:rsid w:val="00C96C8C"/>
    <w:rsid w:val="00CA3353"/>
    <w:rsid w:val="00CA6676"/>
    <w:rsid w:val="00CB45D0"/>
    <w:rsid w:val="00CB593D"/>
    <w:rsid w:val="00CC1F54"/>
    <w:rsid w:val="00CD1C04"/>
    <w:rsid w:val="00CD7E89"/>
    <w:rsid w:val="00CE039F"/>
    <w:rsid w:val="00CE3C3D"/>
    <w:rsid w:val="00CE45D1"/>
    <w:rsid w:val="00CF0A78"/>
    <w:rsid w:val="00CF4E80"/>
    <w:rsid w:val="00D00748"/>
    <w:rsid w:val="00D01CD3"/>
    <w:rsid w:val="00D26353"/>
    <w:rsid w:val="00D27F0E"/>
    <w:rsid w:val="00D32A26"/>
    <w:rsid w:val="00D435CA"/>
    <w:rsid w:val="00D44D9B"/>
    <w:rsid w:val="00D547F4"/>
    <w:rsid w:val="00D56148"/>
    <w:rsid w:val="00D6270C"/>
    <w:rsid w:val="00D6493F"/>
    <w:rsid w:val="00D654D5"/>
    <w:rsid w:val="00D7382D"/>
    <w:rsid w:val="00D74E0E"/>
    <w:rsid w:val="00D82688"/>
    <w:rsid w:val="00D945EC"/>
    <w:rsid w:val="00D96D17"/>
    <w:rsid w:val="00D9733D"/>
    <w:rsid w:val="00DA00B5"/>
    <w:rsid w:val="00DA79B8"/>
    <w:rsid w:val="00DB0AFF"/>
    <w:rsid w:val="00DE1F5A"/>
    <w:rsid w:val="00DE3B47"/>
    <w:rsid w:val="00DE594E"/>
    <w:rsid w:val="00E03D25"/>
    <w:rsid w:val="00E0610D"/>
    <w:rsid w:val="00E06E7A"/>
    <w:rsid w:val="00E0721D"/>
    <w:rsid w:val="00E07D96"/>
    <w:rsid w:val="00E11A03"/>
    <w:rsid w:val="00E23A47"/>
    <w:rsid w:val="00E25656"/>
    <w:rsid w:val="00E25C4F"/>
    <w:rsid w:val="00E261C5"/>
    <w:rsid w:val="00E309AA"/>
    <w:rsid w:val="00E35C7C"/>
    <w:rsid w:val="00E436E5"/>
    <w:rsid w:val="00E55707"/>
    <w:rsid w:val="00E56343"/>
    <w:rsid w:val="00E56E33"/>
    <w:rsid w:val="00E622F9"/>
    <w:rsid w:val="00E76732"/>
    <w:rsid w:val="00EB20B6"/>
    <w:rsid w:val="00EB21BC"/>
    <w:rsid w:val="00EC61D0"/>
    <w:rsid w:val="00ED20AF"/>
    <w:rsid w:val="00ED360F"/>
    <w:rsid w:val="00EE69DB"/>
    <w:rsid w:val="00EF292F"/>
    <w:rsid w:val="00EF2F6D"/>
    <w:rsid w:val="00F05B1F"/>
    <w:rsid w:val="00F06871"/>
    <w:rsid w:val="00F106F5"/>
    <w:rsid w:val="00F13877"/>
    <w:rsid w:val="00F15DB2"/>
    <w:rsid w:val="00F164F0"/>
    <w:rsid w:val="00F16DB8"/>
    <w:rsid w:val="00F214E3"/>
    <w:rsid w:val="00F241E2"/>
    <w:rsid w:val="00F246D8"/>
    <w:rsid w:val="00F2621F"/>
    <w:rsid w:val="00F267A0"/>
    <w:rsid w:val="00F4001B"/>
    <w:rsid w:val="00F41055"/>
    <w:rsid w:val="00F46E2E"/>
    <w:rsid w:val="00F520BE"/>
    <w:rsid w:val="00F532D1"/>
    <w:rsid w:val="00F555C2"/>
    <w:rsid w:val="00F56984"/>
    <w:rsid w:val="00F570B4"/>
    <w:rsid w:val="00F61E10"/>
    <w:rsid w:val="00F64668"/>
    <w:rsid w:val="00F67129"/>
    <w:rsid w:val="00F737AF"/>
    <w:rsid w:val="00F80CEE"/>
    <w:rsid w:val="00F82E1D"/>
    <w:rsid w:val="00F86AF1"/>
    <w:rsid w:val="00F87034"/>
    <w:rsid w:val="00F94698"/>
    <w:rsid w:val="00F96046"/>
    <w:rsid w:val="00F971E1"/>
    <w:rsid w:val="00FA3863"/>
    <w:rsid w:val="00FA4AE4"/>
    <w:rsid w:val="00FB2503"/>
    <w:rsid w:val="00FC1B35"/>
    <w:rsid w:val="00FC2D21"/>
    <w:rsid w:val="00FC3F48"/>
    <w:rsid w:val="00FD4962"/>
    <w:rsid w:val="00FE046A"/>
    <w:rsid w:val="00FE7F03"/>
    <w:rsid w:val="00FF084A"/>
    <w:rsid w:val="00FF114A"/>
    <w:rsid w:val="00FF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B15D0-964F-469A-A561-21E0C00F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EA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320D77"/>
    <w:rPr>
      <w:rFonts w:ascii="Calibri" w:eastAsia="Calibri" w:hAnsi="Calibri" w:cs="Times New Roman"/>
      <w:sz w:val="20"/>
      <w:szCs w:val="20"/>
      <w:lang w:val="hr-H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0D77"/>
    <w:rPr>
      <w:rFonts w:ascii="Calibri" w:eastAsia="Calibri" w:hAnsi="Calibri" w:cs="Times New Roman"/>
      <w:sz w:val="20"/>
      <w:szCs w:val="20"/>
      <w:lang w:val="hr-HR"/>
    </w:rPr>
  </w:style>
  <w:style w:type="paragraph" w:styleId="Header">
    <w:name w:val="header"/>
    <w:basedOn w:val="Normal"/>
    <w:link w:val="HeaderChar"/>
    <w:unhideWhenUsed/>
    <w:rsid w:val="007E49C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HeaderChar">
    <w:name w:val="Header Char"/>
    <w:basedOn w:val="DefaultParagraphFont"/>
    <w:link w:val="Header"/>
    <w:rsid w:val="007E49C1"/>
    <w:rPr>
      <w:rFonts w:ascii="Calibri" w:eastAsia="Calibri" w:hAnsi="Calibri" w:cs="Times New Roman"/>
      <w:lang w:val="hr-HR"/>
    </w:rPr>
  </w:style>
  <w:style w:type="character" w:styleId="CommentReference">
    <w:name w:val="annotation reference"/>
    <w:basedOn w:val="DefaultParagraphFont"/>
    <w:unhideWhenUsed/>
    <w:rsid w:val="007E49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49C1"/>
    <w:pPr>
      <w:spacing w:line="240" w:lineRule="auto"/>
    </w:pPr>
    <w:rPr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49C1"/>
    <w:rPr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9C1"/>
    <w:rPr>
      <w:rFonts w:ascii="Tahoma" w:hAnsi="Tahoma" w:cs="Tahoma"/>
      <w:sz w:val="16"/>
      <w:szCs w:val="16"/>
    </w:rPr>
  </w:style>
  <w:style w:type="character" w:customStyle="1" w:styleId="bold1">
    <w:name w:val="bold1"/>
    <w:basedOn w:val="DefaultParagraphFont"/>
    <w:rsid w:val="007B1EAB"/>
    <w:rPr>
      <w:b/>
      <w:bCs/>
    </w:rPr>
  </w:style>
  <w:style w:type="character" w:customStyle="1" w:styleId="NoSpacingChar">
    <w:name w:val="No Spacing Char"/>
    <w:link w:val="NoSpacing"/>
    <w:uiPriority w:val="1"/>
    <w:locked/>
    <w:rsid w:val="00C96C8C"/>
    <w:rPr>
      <w:rFonts w:ascii="Calibri" w:eastAsia="Calibri" w:hAnsi="Calibri" w:cs="Times New Roman"/>
      <w:lang w:val="hr-HR"/>
    </w:rPr>
  </w:style>
  <w:style w:type="paragraph" w:styleId="NoSpacing">
    <w:name w:val="No Spacing"/>
    <w:link w:val="NoSpacingChar"/>
    <w:uiPriority w:val="1"/>
    <w:qFormat/>
    <w:rsid w:val="00C96C8C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styleId="Hyperlink">
    <w:name w:val="Hyperlink"/>
    <w:basedOn w:val="DefaultParagraphFont"/>
    <w:uiPriority w:val="99"/>
    <w:semiHidden/>
    <w:unhideWhenUsed/>
    <w:rsid w:val="00BE7BA8"/>
    <w:rPr>
      <w:rFonts w:ascii="Verdana" w:hAnsi="Verdana" w:hint="default"/>
      <w:b w:val="0"/>
      <w:bCs w:val="0"/>
      <w:color w:val="4E4E4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0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754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2014_07_93_1880.html" TargetMode="External"/><Relationship Id="rId13" Type="http://schemas.openxmlformats.org/officeDocument/2006/relationships/hyperlink" Target="http://narodne-novine.nn.hr/clanci/sluzbeni/2014_07_81_1558.html" TargetMode="External"/><Relationship Id="rId18" Type="http://schemas.openxmlformats.org/officeDocument/2006/relationships/hyperlink" Target="http://narodne-novine.nn.hr/clanci/sluzbeni/2013_11_132_2872.html" TargetMode="External"/><Relationship Id="rId26" Type="http://schemas.openxmlformats.org/officeDocument/2006/relationships/hyperlink" Target="http://narodne-novine.nn.hr/clanci/sluzbeni/2014_07_93_1880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narodne-novine.nn.hr/clanci/sluzbeni/2015_03_24_504.html" TargetMode="External"/><Relationship Id="rId7" Type="http://schemas.openxmlformats.org/officeDocument/2006/relationships/hyperlink" Target="http://narodne-novine.nn.hr/clanci/sluzbeni/2014_07_81_1558.html" TargetMode="External"/><Relationship Id="rId12" Type="http://schemas.openxmlformats.org/officeDocument/2006/relationships/hyperlink" Target="http://narodne-novine.nn.hr/clanci/sluzbeni/2013_11_132_2872.html" TargetMode="External"/><Relationship Id="rId17" Type="http://schemas.openxmlformats.org/officeDocument/2006/relationships/hyperlink" Target="http://narodne-novine.nn.hr/clanci/sluzbeni/2015_10_110_2139.html" TargetMode="External"/><Relationship Id="rId25" Type="http://schemas.openxmlformats.org/officeDocument/2006/relationships/hyperlink" Target="http://narodne-novine.nn.hr/clanci/sluzbeni/2014_07_81_1558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arodne-novine.nn.hr/clanci/sluzbeni/2015_09_99_1929.html" TargetMode="External"/><Relationship Id="rId20" Type="http://schemas.openxmlformats.org/officeDocument/2006/relationships/hyperlink" Target="http://narodne-novine.nn.hr/clanci/sluzbeni/2014_07_93_1880.html" TargetMode="External"/><Relationship Id="rId29" Type="http://schemas.openxmlformats.org/officeDocument/2006/relationships/hyperlink" Target="http://narodne-novine.nn.hr/clanci/sluzbeni/2015_10_110_2139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narodne-novine.nn.hr/clanci/sluzbeni/2013_11_132_2872.html" TargetMode="External"/><Relationship Id="rId11" Type="http://schemas.openxmlformats.org/officeDocument/2006/relationships/hyperlink" Target="http://narodne-novine.nn.hr/clanci/sluzbeni/2015_10_110_2139.html" TargetMode="External"/><Relationship Id="rId24" Type="http://schemas.openxmlformats.org/officeDocument/2006/relationships/hyperlink" Target="http://narodne-novine.nn.hr/clanci/sluzbeni/2013_11_132_287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rodne-novine.nn.hr/clanci/sluzbeni/2015_03_24_504.html" TargetMode="External"/><Relationship Id="rId23" Type="http://schemas.openxmlformats.org/officeDocument/2006/relationships/hyperlink" Target="http://narodne-novine.nn.hr/clanci/sluzbeni/2015_10_110_2139.html" TargetMode="External"/><Relationship Id="rId28" Type="http://schemas.openxmlformats.org/officeDocument/2006/relationships/hyperlink" Target="http://narodne-novine.nn.hr/clanci/sluzbeni/2015_09_99_1929.html" TargetMode="External"/><Relationship Id="rId10" Type="http://schemas.openxmlformats.org/officeDocument/2006/relationships/hyperlink" Target="http://narodne-novine.nn.hr/clanci/sluzbeni/2015_09_99_1929.html" TargetMode="External"/><Relationship Id="rId19" Type="http://schemas.openxmlformats.org/officeDocument/2006/relationships/hyperlink" Target="http://narodne-novine.nn.hr/clanci/sluzbeni/2014_07_81_1558.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arodne-novine.nn.hr/clanci/sluzbeni/2015_03_24_504.html" TargetMode="External"/><Relationship Id="rId14" Type="http://schemas.openxmlformats.org/officeDocument/2006/relationships/hyperlink" Target="http://narodne-novine.nn.hr/clanci/sluzbeni/2014_07_93_1880.html" TargetMode="External"/><Relationship Id="rId22" Type="http://schemas.openxmlformats.org/officeDocument/2006/relationships/hyperlink" Target="http://narodne-novine.nn.hr/clanci/sluzbeni/2015_09_99_1929.html" TargetMode="External"/><Relationship Id="rId27" Type="http://schemas.openxmlformats.org/officeDocument/2006/relationships/hyperlink" Target="http://narodne-novine.nn.hr/clanci/sluzbeni/2015_03_24_504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F7DFE-022D-463D-B84C-DDDFC0BEB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2811</Words>
  <Characters>16023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18797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gordana.malecic</dc:creator>
  <cp:lastModifiedBy>Vesna Homen</cp:lastModifiedBy>
  <cp:revision>8</cp:revision>
  <cp:lastPrinted>2016-05-23T17:56:00Z</cp:lastPrinted>
  <dcterms:created xsi:type="dcterms:W3CDTF">2016-05-24T07:01:00Z</dcterms:created>
  <dcterms:modified xsi:type="dcterms:W3CDTF">2016-05-24T08:39:00Z</dcterms:modified>
</cp:coreProperties>
</file>